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64B0EA" w14:textId="3982A75B" w:rsidR="00A511D4" w:rsidRPr="00166698" w:rsidRDefault="00CB1C63" w:rsidP="00A511D4">
      <w:pPr>
        <w:rPr>
          <w:rStyle w:val="Heading1Char"/>
          <w:rFonts w:ascii="Verdana" w:hAnsi="Verdana"/>
          <w:b/>
          <w:bCs/>
          <w:color w:val="auto"/>
          <w:sz w:val="44"/>
          <w:szCs w:val="44"/>
        </w:rPr>
      </w:pPr>
      <w:r w:rsidRPr="00166698">
        <w:rPr>
          <w:rStyle w:val="Heading1Char"/>
          <w:rFonts w:ascii="Verdana" w:hAnsi="Verdana"/>
          <w:b/>
          <w:bCs/>
          <w:color w:val="auto"/>
          <w:sz w:val="44"/>
          <w:szCs w:val="44"/>
        </w:rPr>
        <w:t>Disability and Justice</w:t>
      </w:r>
    </w:p>
    <w:p w14:paraId="15CD55DD" w14:textId="4AFCFAC8" w:rsidR="0013697D" w:rsidRPr="00047E9B" w:rsidRDefault="089C7014" w:rsidP="001C4531">
      <w:pPr>
        <w:spacing w:before="100" w:beforeAutospacing="1" w:after="100" w:afterAutospacing="1"/>
        <w:rPr>
          <w:rFonts w:ascii="Verdana" w:hAnsi="Verdana"/>
          <w:b/>
          <w:bCs/>
        </w:rPr>
      </w:pPr>
      <w:r w:rsidRPr="00047E9B">
        <w:rPr>
          <w:rStyle w:val="Heading1Char"/>
          <w:rFonts w:ascii="Verdana" w:hAnsi="Verdana"/>
          <w:b/>
          <w:bCs/>
          <w:color w:val="auto"/>
          <w:sz w:val="32"/>
          <w:szCs w:val="32"/>
        </w:rPr>
        <w:t>Disabled people more likely to be victims of crime</w:t>
      </w:r>
      <w:r w:rsidR="001C4531" w:rsidRPr="00047E9B">
        <w:rPr>
          <w:rStyle w:val="Heading1Char"/>
          <w:rFonts w:ascii="Verdana" w:hAnsi="Verdana"/>
          <w:b/>
          <w:bCs/>
          <w:color w:val="auto"/>
          <w:sz w:val="32"/>
          <w:szCs w:val="32"/>
        </w:rPr>
        <w:br/>
      </w:r>
      <w:r w:rsidRPr="00047E9B">
        <w:rPr>
          <w:rFonts w:ascii="Verdana" w:eastAsia="Roboto" w:hAnsi="Verdana" w:cs="Roboto"/>
        </w:rPr>
        <w:t>Age-</w:t>
      </w:r>
      <w:proofErr w:type="spellStart"/>
      <w:r w:rsidRPr="00047E9B">
        <w:rPr>
          <w:rFonts w:ascii="Verdana" w:eastAsia="Roboto" w:hAnsi="Verdana" w:cs="Roboto"/>
        </w:rPr>
        <w:t>standardised</w:t>
      </w:r>
      <w:proofErr w:type="spellEnd"/>
      <w:r w:rsidRPr="00047E9B">
        <w:rPr>
          <w:rFonts w:ascii="Verdana" w:eastAsia="Roboto" w:hAnsi="Verdana" w:cs="Roboto"/>
        </w:rPr>
        <w:t xml:space="preserve"> </w:t>
      </w:r>
      <w:proofErr w:type="spellStart"/>
      <w:r w:rsidRPr="00047E9B">
        <w:rPr>
          <w:rFonts w:ascii="Verdana" w:eastAsia="Roboto" w:hAnsi="Verdana" w:cs="Roboto"/>
        </w:rPr>
        <w:t>victimisation</w:t>
      </w:r>
      <w:proofErr w:type="spellEnd"/>
      <w:r w:rsidRPr="00047E9B">
        <w:rPr>
          <w:rFonts w:ascii="Verdana" w:eastAsia="Roboto" w:hAnsi="Verdana" w:cs="Roboto"/>
        </w:rPr>
        <w:t xml:space="preserve"> rate (</w:t>
      </w:r>
      <w:r w:rsidR="3E9BCA53" w:rsidRPr="00047E9B">
        <w:rPr>
          <w:rFonts w:ascii="Verdana" w:eastAsia="Roboto" w:hAnsi="Verdana" w:cs="Roboto"/>
        </w:rPr>
        <w:t>percent</w:t>
      </w:r>
      <w:r w:rsidRPr="00047E9B">
        <w:rPr>
          <w:rFonts w:ascii="Verdana" w:eastAsia="Roboto" w:hAnsi="Verdana" w:cs="Roboto"/>
        </w:rPr>
        <w:t xml:space="preserve">), by disability </w:t>
      </w:r>
      <w:proofErr w:type="gramStart"/>
      <w:r w:rsidRPr="00047E9B">
        <w:rPr>
          <w:rFonts w:ascii="Verdana" w:eastAsia="Roboto" w:hAnsi="Verdana" w:cs="Roboto"/>
        </w:rPr>
        <w:t>status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82"/>
        <w:gridCol w:w="3084"/>
        <w:gridCol w:w="3084"/>
      </w:tblGrid>
      <w:tr w:rsidR="00047E9B" w:rsidRPr="00047E9B" w14:paraId="1403A6F4" w14:textId="77777777" w:rsidTr="00EF0F84">
        <w:tc>
          <w:tcPr>
            <w:tcW w:w="3182" w:type="dxa"/>
          </w:tcPr>
          <w:p w14:paraId="1184694A" w14:textId="77777777" w:rsidR="00EF0F84" w:rsidRPr="00047E9B" w:rsidRDefault="00EF0F84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  <w:tc>
          <w:tcPr>
            <w:tcW w:w="3084" w:type="dxa"/>
          </w:tcPr>
          <w:p w14:paraId="1FC7ED6A" w14:textId="24049B64" w:rsidR="00EF0F84" w:rsidRPr="00047E9B" w:rsidRDefault="00EF0F84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Disabled</w:t>
            </w:r>
          </w:p>
        </w:tc>
        <w:tc>
          <w:tcPr>
            <w:tcW w:w="3084" w:type="dxa"/>
          </w:tcPr>
          <w:p w14:paraId="53EBB175" w14:textId="533F8B2F" w:rsidR="00EF0F84" w:rsidRPr="00047E9B" w:rsidRDefault="00EF0F84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Non-disabled</w:t>
            </w:r>
          </w:p>
        </w:tc>
      </w:tr>
      <w:tr w:rsidR="00047E9B" w:rsidRPr="00047E9B" w14:paraId="63878415" w14:textId="77777777" w:rsidTr="00EF0F84">
        <w:tc>
          <w:tcPr>
            <w:tcW w:w="3182" w:type="dxa"/>
          </w:tcPr>
          <w:p w14:paraId="6B28A31F" w14:textId="3185D9F9" w:rsidR="00EF0F84" w:rsidRPr="00047E9B" w:rsidRDefault="00EF0F84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2018</w:t>
            </w:r>
          </w:p>
        </w:tc>
        <w:tc>
          <w:tcPr>
            <w:tcW w:w="3084" w:type="dxa"/>
          </w:tcPr>
          <w:p w14:paraId="1106DD37" w14:textId="3346A0C4" w:rsidR="00EF0F84" w:rsidRPr="00047E9B" w:rsidRDefault="00EF0F84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39 percent</w:t>
            </w:r>
          </w:p>
        </w:tc>
        <w:tc>
          <w:tcPr>
            <w:tcW w:w="3084" w:type="dxa"/>
          </w:tcPr>
          <w:p w14:paraId="4F6151AF" w14:textId="759E9BB2" w:rsidR="00EF0F84" w:rsidRPr="00047E9B" w:rsidRDefault="00F96B5D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29 percent</w:t>
            </w:r>
          </w:p>
        </w:tc>
      </w:tr>
      <w:tr w:rsidR="00047E9B" w:rsidRPr="00047E9B" w14:paraId="5DA80451" w14:textId="77777777" w:rsidTr="00EF0F84">
        <w:tc>
          <w:tcPr>
            <w:tcW w:w="3182" w:type="dxa"/>
          </w:tcPr>
          <w:p w14:paraId="60E30DD7" w14:textId="7836794C" w:rsidR="00EF0F84" w:rsidRPr="00047E9B" w:rsidRDefault="00EF0F84" w:rsidP="00EF0F84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2019</w:t>
            </w:r>
          </w:p>
        </w:tc>
        <w:tc>
          <w:tcPr>
            <w:tcW w:w="3084" w:type="dxa"/>
          </w:tcPr>
          <w:p w14:paraId="0196E6BF" w14:textId="287E512C" w:rsidR="00EF0F84" w:rsidRPr="00047E9B" w:rsidRDefault="00EF0F84" w:rsidP="00EF0F84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44 percent</w:t>
            </w:r>
          </w:p>
        </w:tc>
        <w:tc>
          <w:tcPr>
            <w:tcW w:w="3084" w:type="dxa"/>
          </w:tcPr>
          <w:p w14:paraId="151EE79C" w14:textId="19482463" w:rsidR="00EF0F84" w:rsidRPr="00047E9B" w:rsidRDefault="00F96B5D" w:rsidP="00EF0F84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30 percent</w:t>
            </w:r>
          </w:p>
        </w:tc>
      </w:tr>
      <w:tr w:rsidR="00047E9B" w:rsidRPr="00047E9B" w14:paraId="70A33F40" w14:textId="77777777" w:rsidTr="00EF0F84">
        <w:tc>
          <w:tcPr>
            <w:tcW w:w="3182" w:type="dxa"/>
          </w:tcPr>
          <w:p w14:paraId="11BA890F" w14:textId="18050A12" w:rsidR="00EF0F84" w:rsidRPr="00047E9B" w:rsidRDefault="00EF0F84" w:rsidP="00EF0F84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2020</w:t>
            </w:r>
          </w:p>
        </w:tc>
        <w:tc>
          <w:tcPr>
            <w:tcW w:w="3084" w:type="dxa"/>
          </w:tcPr>
          <w:p w14:paraId="3C28B65A" w14:textId="27C14BDA" w:rsidR="00EF0F84" w:rsidRPr="00047E9B" w:rsidRDefault="00EF0F84" w:rsidP="00EF0F84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42 percent</w:t>
            </w:r>
          </w:p>
        </w:tc>
        <w:tc>
          <w:tcPr>
            <w:tcW w:w="3084" w:type="dxa"/>
          </w:tcPr>
          <w:p w14:paraId="00E8737D" w14:textId="4EAF6473" w:rsidR="00EF0F84" w:rsidRPr="00047E9B" w:rsidRDefault="00F96B5D" w:rsidP="00EF0F84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29 percent</w:t>
            </w:r>
          </w:p>
        </w:tc>
      </w:tr>
      <w:tr w:rsidR="00047E9B" w:rsidRPr="00047E9B" w14:paraId="374CE833" w14:textId="77777777" w:rsidTr="00EF0F84">
        <w:tc>
          <w:tcPr>
            <w:tcW w:w="3182" w:type="dxa"/>
          </w:tcPr>
          <w:p w14:paraId="41BE66F9" w14:textId="3EBEC565" w:rsidR="00EF0F84" w:rsidRPr="00047E9B" w:rsidRDefault="00EF0F84" w:rsidP="00EF0F84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2021</w:t>
            </w:r>
          </w:p>
        </w:tc>
        <w:tc>
          <w:tcPr>
            <w:tcW w:w="3084" w:type="dxa"/>
          </w:tcPr>
          <w:p w14:paraId="4081330D" w14:textId="2480A1DC" w:rsidR="00EF0F84" w:rsidRPr="00047E9B" w:rsidRDefault="00EF0F84" w:rsidP="00EF0F84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38 percent</w:t>
            </w:r>
          </w:p>
        </w:tc>
        <w:tc>
          <w:tcPr>
            <w:tcW w:w="3084" w:type="dxa"/>
          </w:tcPr>
          <w:p w14:paraId="37905656" w14:textId="18AAD1FA" w:rsidR="00EF0F84" w:rsidRPr="00047E9B" w:rsidRDefault="00F96B5D" w:rsidP="00EF0F84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29 percent</w:t>
            </w:r>
          </w:p>
        </w:tc>
      </w:tr>
      <w:tr w:rsidR="00047E9B" w:rsidRPr="00047E9B" w14:paraId="1DFEBCDC" w14:textId="77777777" w:rsidTr="00EF0F84">
        <w:tc>
          <w:tcPr>
            <w:tcW w:w="3182" w:type="dxa"/>
          </w:tcPr>
          <w:p w14:paraId="1C74C6E5" w14:textId="77F749BE" w:rsidR="00EF0F84" w:rsidRPr="00047E9B" w:rsidRDefault="00EF0F84" w:rsidP="00EF0F84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2022</w:t>
            </w:r>
          </w:p>
        </w:tc>
        <w:tc>
          <w:tcPr>
            <w:tcW w:w="3084" w:type="dxa"/>
          </w:tcPr>
          <w:p w14:paraId="46FEF4EA" w14:textId="4036A8BF" w:rsidR="00EF0F84" w:rsidRPr="00047E9B" w:rsidRDefault="00EF0F84" w:rsidP="00EF0F84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36 percent</w:t>
            </w:r>
          </w:p>
        </w:tc>
        <w:tc>
          <w:tcPr>
            <w:tcW w:w="3084" w:type="dxa"/>
          </w:tcPr>
          <w:p w14:paraId="3E0697EA" w14:textId="0D1318E5" w:rsidR="00EF0F84" w:rsidRPr="00047E9B" w:rsidRDefault="00F96B5D" w:rsidP="00EF0F84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30 percent</w:t>
            </w:r>
          </w:p>
        </w:tc>
      </w:tr>
      <w:tr w:rsidR="00047E9B" w:rsidRPr="00047E9B" w14:paraId="03292F95" w14:textId="77777777" w:rsidTr="00EF0F84">
        <w:tc>
          <w:tcPr>
            <w:tcW w:w="3182" w:type="dxa"/>
          </w:tcPr>
          <w:p w14:paraId="509FF706" w14:textId="49949E92" w:rsidR="00EF0F84" w:rsidRPr="00047E9B" w:rsidRDefault="00EF0F84" w:rsidP="00EF0F84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2023</w:t>
            </w:r>
          </w:p>
        </w:tc>
        <w:tc>
          <w:tcPr>
            <w:tcW w:w="3084" w:type="dxa"/>
          </w:tcPr>
          <w:p w14:paraId="23D47660" w14:textId="56FBF209" w:rsidR="00EF0F84" w:rsidRPr="00047E9B" w:rsidRDefault="00EF0F84" w:rsidP="00EF0F84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37 percent</w:t>
            </w:r>
          </w:p>
        </w:tc>
        <w:tc>
          <w:tcPr>
            <w:tcW w:w="3084" w:type="dxa"/>
          </w:tcPr>
          <w:p w14:paraId="28CE0882" w14:textId="6050EAAD" w:rsidR="00EF0F84" w:rsidRPr="00047E9B" w:rsidRDefault="00F96B5D" w:rsidP="00EF0F84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31 percent</w:t>
            </w:r>
          </w:p>
        </w:tc>
      </w:tr>
      <w:tr w:rsidR="00047E9B" w:rsidRPr="00047E9B" w14:paraId="698C0A74" w14:textId="77777777" w:rsidTr="00EF0F84">
        <w:tc>
          <w:tcPr>
            <w:tcW w:w="3182" w:type="dxa"/>
          </w:tcPr>
          <w:p w14:paraId="5E131E20" w14:textId="73F65CC5" w:rsidR="00F96B5D" w:rsidRPr="00047E9B" w:rsidRDefault="00F96B5D" w:rsidP="00F96B5D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2024</w:t>
            </w:r>
          </w:p>
        </w:tc>
        <w:tc>
          <w:tcPr>
            <w:tcW w:w="3084" w:type="dxa"/>
          </w:tcPr>
          <w:p w14:paraId="1E7797E8" w14:textId="4B19F6AC" w:rsidR="00F96B5D" w:rsidRPr="00047E9B" w:rsidRDefault="00F96B5D" w:rsidP="00F96B5D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40 percent</w:t>
            </w:r>
          </w:p>
        </w:tc>
        <w:tc>
          <w:tcPr>
            <w:tcW w:w="3084" w:type="dxa"/>
          </w:tcPr>
          <w:p w14:paraId="6D0B676F" w14:textId="4BC770C2" w:rsidR="00F96B5D" w:rsidRPr="00047E9B" w:rsidRDefault="00F96B5D" w:rsidP="00F96B5D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29 percent</w:t>
            </w:r>
          </w:p>
        </w:tc>
      </w:tr>
    </w:tbl>
    <w:p w14:paraId="680B6900" w14:textId="7F8C306B" w:rsidR="116CCF27" w:rsidRDefault="005B1412" w:rsidP="00D229EA">
      <w:pPr>
        <w:spacing w:before="100" w:beforeAutospacing="1" w:after="100" w:afterAutospacing="1"/>
        <w:rPr>
          <w:rFonts w:ascii="Verdana" w:hAnsi="Verdana"/>
        </w:rPr>
      </w:pPr>
      <w:r w:rsidRPr="116CCF27">
        <w:rPr>
          <w:rFonts w:ascii="Verdana" w:hAnsi="Verdana"/>
        </w:rPr>
        <w:t>Source: New Zealand Crime and Victims Survey, cycle 1-7</w:t>
      </w:r>
    </w:p>
    <w:p w14:paraId="73BAB9E1" w14:textId="20875EB5" w:rsidR="001D1315" w:rsidRPr="00047E9B" w:rsidRDefault="001D1315" w:rsidP="001C4531">
      <w:pPr>
        <w:pStyle w:val="NormalWeb"/>
        <w:rPr>
          <w:rFonts w:ascii="Verdana" w:hAnsi="Verdana"/>
          <w:b/>
          <w:bCs/>
        </w:rPr>
      </w:pPr>
      <w:r w:rsidRPr="00047E9B">
        <w:rPr>
          <w:rStyle w:val="Heading1Char"/>
          <w:rFonts w:ascii="Verdana" w:hAnsi="Verdana"/>
          <w:b/>
          <w:bCs/>
          <w:color w:val="auto"/>
          <w:sz w:val="32"/>
          <w:szCs w:val="32"/>
        </w:rPr>
        <w:t>Disabled LGBT+ people most likely to experience crime</w:t>
      </w:r>
      <w:r w:rsidR="001C4531" w:rsidRPr="00047E9B">
        <w:rPr>
          <w:rFonts w:ascii="Verdana" w:hAnsi="Verdana"/>
          <w:b/>
          <w:bCs/>
        </w:rPr>
        <w:br/>
      </w:r>
      <w:r w:rsidRPr="00047E9B">
        <w:rPr>
          <w:rFonts w:ascii="Verdana" w:eastAsia="+mn-ea" w:hAnsi="Verdana" w:cs="+mn-cs"/>
          <w:kern w:val="24"/>
        </w:rPr>
        <w:t>Age-standardised victimisation rate (</w:t>
      </w:r>
      <w:r w:rsidR="3E9BCA53" w:rsidRPr="00047E9B">
        <w:rPr>
          <w:rFonts w:ascii="Verdana" w:eastAsia="+mn-ea" w:hAnsi="Verdana" w:cs="+mn-cs"/>
          <w:kern w:val="24"/>
        </w:rPr>
        <w:t>percent</w:t>
      </w:r>
      <w:r w:rsidRPr="00047E9B">
        <w:rPr>
          <w:rFonts w:ascii="Verdana" w:eastAsia="+mn-ea" w:hAnsi="Verdana" w:cs="+mn-cs"/>
          <w:kern w:val="24"/>
        </w:rPr>
        <w:t xml:space="preserve">), by group and disability </w:t>
      </w:r>
      <w:proofErr w:type="gramStart"/>
      <w:r w:rsidRPr="00047E9B">
        <w:rPr>
          <w:rFonts w:ascii="Verdana" w:eastAsia="+mn-ea" w:hAnsi="Verdana" w:cs="+mn-cs"/>
          <w:kern w:val="24"/>
        </w:rPr>
        <w:t>status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7E9B" w:rsidRPr="00047E9B" w14:paraId="2CDD057C" w14:textId="77777777" w:rsidTr="00E067E5">
        <w:tc>
          <w:tcPr>
            <w:tcW w:w="3116" w:type="dxa"/>
          </w:tcPr>
          <w:p w14:paraId="7E8B4B87" w14:textId="77777777" w:rsidR="00E067E5" w:rsidRPr="00047E9B" w:rsidRDefault="00E067E5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  <w:tc>
          <w:tcPr>
            <w:tcW w:w="3117" w:type="dxa"/>
          </w:tcPr>
          <w:p w14:paraId="40DD851C" w14:textId="77777777" w:rsidR="00E067E5" w:rsidRPr="00047E9B" w:rsidRDefault="00E067E5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Non-disabled</w:t>
            </w:r>
          </w:p>
        </w:tc>
        <w:tc>
          <w:tcPr>
            <w:tcW w:w="3117" w:type="dxa"/>
          </w:tcPr>
          <w:p w14:paraId="0D4861CF" w14:textId="77777777" w:rsidR="00E067E5" w:rsidRPr="00047E9B" w:rsidRDefault="00E067E5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Disabled</w:t>
            </w:r>
          </w:p>
        </w:tc>
      </w:tr>
      <w:tr w:rsidR="00047E9B" w:rsidRPr="00047E9B" w14:paraId="1C9CB7C8" w14:textId="77777777" w:rsidTr="555E4991">
        <w:trPr>
          <w:trHeight w:val="300"/>
        </w:trPr>
        <w:tc>
          <w:tcPr>
            <w:tcW w:w="3116" w:type="dxa"/>
          </w:tcPr>
          <w:p w14:paraId="119001CF" w14:textId="18165B3D" w:rsidR="00810D8F" w:rsidRPr="00047E9B" w:rsidRDefault="00810D8F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NZ population</w:t>
            </w:r>
          </w:p>
        </w:tc>
        <w:tc>
          <w:tcPr>
            <w:tcW w:w="3117" w:type="dxa"/>
          </w:tcPr>
          <w:p w14:paraId="23DAEBA7" w14:textId="54F9FCF7" w:rsidR="00810D8F" w:rsidRPr="00047E9B" w:rsidRDefault="006318F3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30 percent</w:t>
            </w:r>
          </w:p>
        </w:tc>
        <w:tc>
          <w:tcPr>
            <w:tcW w:w="3117" w:type="dxa"/>
          </w:tcPr>
          <w:p w14:paraId="38F19B2F" w14:textId="5D72ADF7" w:rsidR="00810D8F" w:rsidRPr="00047E9B" w:rsidRDefault="006318F3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39 percent</w:t>
            </w:r>
          </w:p>
        </w:tc>
      </w:tr>
      <w:tr w:rsidR="00047E9B" w:rsidRPr="00047E9B" w14:paraId="6242FECB" w14:textId="77777777" w:rsidTr="00E067E5">
        <w:tc>
          <w:tcPr>
            <w:tcW w:w="3116" w:type="dxa"/>
          </w:tcPr>
          <w:p w14:paraId="3628443C" w14:textId="77777777" w:rsidR="00810D8F" w:rsidRPr="00047E9B" w:rsidRDefault="00810D8F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Female</w:t>
            </w:r>
          </w:p>
        </w:tc>
        <w:tc>
          <w:tcPr>
            <w:tcW w:w="3117" w:type="dxa"/>
          </w:tcPr>
          <w:p w14:paraId="41CE71A3" w14:textId="680EBDDA" w:rsidR="00810D8F" w:rsidRPr="00047E9B" w:rsidRDefault="006318F3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31 percent</w:t>
            </w:r>
          </w:p>
        </w:tc>
        <w:tc>
          <w:tcPr>
            <w:tcW w:w="3117" w:type="dxa"/>
          </w:tcPr>
          <w:p w14:paraId="27EA4AC4" w14:textId="06A2FFE1" w:rsidR="00810D8F" w:rsidRPr="00047E9B" w:rsidRDefault="006318F3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41 percent</w:t>
            </w:r>
          </w:p>
        </w:tc>
      </w:tr>
      <w:tr w:rsidR="00047E9B" w:rsidRPr="00047E9B" w14:paraId="0501A592" w14:textId="77777777" w:rsidTr="00E067E5">
        <w:tc>
          <w:tcPr>
            <w:tcW w:w="3116" w:type="dxa"/>
          </w:tcPr>
          <w:p w14:paraId="3F35976D" w14:textId="77777777" w:rsidR="00810D8F" w:rsidRPr="00047E9B" w:rsidRDefault="00810D8F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Male</w:t>
            </w:r>
          </w:p>
        </w:tc>
        <w:tc>
          <w:tcPr>
            <w:tcW w:w="3117" w:type="dxa"/>
          </w:tcPr>
          <w:p w14:paraId="05FEF6BC" w14:textId="4C9373A1" w:rsidR="00810D8F" w:rsidRPr="00047E9B" w:rsidRDefault="006318F3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29 percent</w:t>
            </w:r>
          </w:p>
        </w:tc>
        <w:tc>
          <w:tcPr>
            <w:tcW w:w="3117" w:type="dxa"/>
          </w:tcPr>
          <w:p w14:paraId="214C3E60" w14:textId="412A6392" w:rsidR="00810D8F" w:rsidRPr="00047E9B" w:rsidRDefault="006318F3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37 percent</w:t>
            </w:r>
          </w:p>
        </w:tc>
      </w:tr>
      <w:tr w:rsidR="00047E9B" w:rsidRPr="00047E9B" w14:paraId="3414A490" w14:textId="77777777" w:rsidTr="00E067E5">
        <w:tc>
          <w:tcPr>
            <w:tcW w:w="3116" w:type="dxa"/>
          </w:tcPr>
          <w:p w14:paraId="2B398A76" w14:textId="691FA7A0" w:rsidR="00810D8F" w:rsidRPr="00047E9B" w:rsidRDefault="00810D8F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LGBT+</w:t>
            </w:r>
          </w:p>
        </w:tc>
        <w:tc>
          <w:tcPr>
            <w:tcW w:w="3117" w:type="dxa"/>
          </w:tcPr>
          <w:p w14:paraId="5981A217" w14:textId="217D1DBE" w:rsidR="00810D8F" w:rsidRPr="00047E9B" w:rsidRDefault="006318F3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41 percent</w:t>
            </w:r>
          </w:p>
        </w:tc>
        <w:tc>
          <w:tcPr>
            <w:tcW w:w="3117" w:type="dxa"/>
          </w:tcPr>
          <w:p w14:paraId="5D34224C" w14:textId="40C31235" w:rsidR="00810D8F" w:rsidRPr="00047E9B" w:rsidRDefault="00B3170F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65 percent</w:t>
            </w:r>
          </w:p>
        </w:tc>
      </w:tr>
      <w:tr w:rsidR="00047E9B" w:rsidRPr="00047E9B" w14:paraId="65E67228" w14:textId="77777777" w:rsidTr="00E067E5">
        <w:tc>
          <w:tcPr>
            <w:tcW w:w="3116" w:type="dxa"/>
          </w:tcPr>
          <w:p w14:paraId="16F9F1D2" w14:textId="3C669DD4" w:rsidR="00810D8F" w:rsidRPr="00047E9B" w:rsidRDefault="00810D8F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Asian</w:t>
            </w:r>
          </w:p>
        </w:tc>
        <w:tc>
          <w:tcPr>
            <w:tcW w:w="3117" w:type="dxa"/>
          </w:tcPr>
          <w:p w14:paraId="0DBEC009" w14:textId="72F1310D" w:rsidR="00810D8F" w:rsidRPr="00047E9B" w:rsidRDefault="00077011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27 percent</w:t>
            </w:r>
          </w:p>
        </w:tc>
        <w:tc>
          <w:tcPr>
            <w:tcW w:w="3117" w:type="dxa"/>
          </w:tcPr>
          <w:p w14:paraId="69D9DC54" w14:textId="6E8020CE" w:rsidR="00810D8F" w:rsidRPr="00047E9B" w:rsidRDefault="00295751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21 percent</w:t>
            </w:r>
          </w:p>
        </w:tc>
      </w:tr>
      <w:tr w:rsidR="00047E9B" w:rsidRPr="00047E9B" w14:paraId="4A432271" w14:textId="77777777" w:rsidTr="00E067E5">
        <w:tc>
          <w:tcPr>
            <w:tcW w:w="3116" w:type="dxa"/>
          </w:tcPr>
          <w:p w14:paraId="54B65B18" w14:textId="3E81503F" w:rsidR="00810D8F" w:rsidRPr="00047E9B" w:rsidRDefault="00810D8F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European</w:t>
            </w:r>
          </w:p>
        </w:tc>
        <w:tc>
          <w:tcPr>
            <w:tcW w:w="3117" w:type="dxa"/>
          </w:tcPr>
          <w:p w14:paraId="72D19D81" w14:textId="7ECE7892" w:rsidR="00810D8F" w:rsidRPr="00047E9B" w:rsidRDefault="0025584B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31 percent</w:t>
            </w:r>
          </w:p>
        </w:tc>
        <w:tc>
          <w:tcPr>
            <w:tcW w:w="3117" w:type="dxa"/>
          </w:tcPr>
          <w:p w14:paraId="6E944C61" w14:textId="47114D46" w:rsidR="00810D8F" w:rsidRPr="00047E9B" w:rsidRDefault="0025584B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41 percent</w:t>
            </w:r>
          </w:p>
        </w:tc>
      </w:tr>
      <w:tr w:rsidR="00047E9B" w:rsidRPr="00047E9B" w14:paraId="3E010065" w14:textId="77777777" w:rsidTr="00E067E5">
        <w:tc>
          <w:tcPr>
            <w:tcW w:w="3116" w:type="dxa"/>
          </w:tcPr>
          <w:p w14:paraId="0C8D36F9" w14:textId="05360FBF" w:rsidR="00810D8F" w:rsidRPr="00047E9B" w:rsidRDefault="00810D8F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Māori</w:t>
            </w:r>
          </w:p>
        </w:tc>
        <w:tc>
          <w:tcPr>
            <w:tcW w:w="3117" w:type="dxa"/>
          </w:tcPr>
          <w:p w14:paraId="2082B3D8" w14:textId="482AB0CC" w:rsidR="00810D8F" w:rsidRPr="00047E9B" w:rsidRDefault="007C4C32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35 percent</w:t>
            </w:r>
          </w:p>
        </w:tc>
        <w:tc>
          <w:tcPr>
            <w:tcW w:w="3117" w:type="dxa"/>
          </w:tcPr>
          <w:p w14:paraId="513A2096" w14:textId="4542E09C" w:rsidR="00810D8F" w:rsidRPr="00047E9B" w:rsidRDefault="007C4C32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53 percent</w:t>
            </w:r>
          </w:p>
        </w:tc>
      </w:tr>
      <w:tr w:rsidR="00047E9B" w:rsidRPr="00047E9B" w14:paraId="79B16D7F" w14:textId="77777777" w:rsidTr="00E067E5">
        <w:tc>
          <w:tcPr>
            <w:tcW w:w="3116" w:type="dxa"/>
          </w:tcPr>
          <w:p w14:paraId="4778FDBB" w14:textId="637285F5" w:rsidR="00810D8F" w:rsidRPr="00047E9B" w:rsidRDefault="00810D8F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Pacific peoples</w:t>
            </w:r>
          </w:p>
        </w:tc>
        <w:tc>
          <w:tcPr>
            <w:tcW w:w="3117" w:type="dxa"/>
          </w:tcPr>
          <w:p w14:paraId="07AABD03" w14:textId="73D18927" w:rsidR="00810D8F" w:rsidRPr="00047E9B" w:rsidRDefault="007C4C32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28 percent</w:t>
            </w:r>
          </w:p>
        </w:tc>
        <w:tc>
          <w:tcPr>
            <w:tcW w:w="3117" w:type="dxa"/>
          </w:tcPr>
          <w:p w14:paraId="3C21D9E8" w14:textId="6730FB69" w:rsidR="00810D8F" w:rsidRPr="00047E9B" w:rsidRDefault="007C4C32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40 percent</w:t>
            </w:r>
          </w:p>
        </w:tc>
      </w:tr>
    </w:tbl>
    <w:p w14:paraId="3E584B88" w14:textId="38995B57" w:rsidR="116CCF27" w:rsidRDefault="00795BA4" w:rsidP="00D229EA">
      <w:pPr>
        <w:spacing w:before="100" w:beforeAutospacing="1" w:after="100" w:afterAutospacing="1"/>
        <w:rPr>
          <w:rFonts w:ascii="Verdana" w:hAnsi="Verdana"/>
        </w:rPr>
      </w:pPr>
      <w:r w:rsidRPr="116CCF27">
        <w:rPr>
          <w:rFonts w:ascii="Verdana" w:hAnsi="Verdana"/>
        </w:rPr>
        <w:t>Source: New Zealand Crime and Victims Survey, cycle 1-6 pooled</w:t>
      </w:r>
    </w:p>
    <w:p w14:paraId="6224A239" w14:textId="4E3DA997" w:rsidR="00E03E19" w:rsidRPr="00047E9B" w:rsidRDefault="00E03E19" w:rsidP="001C4531">
      <w:pPr>
        <w:pStyle w:val="NormalWeb"/>
        <w:rPr>
          <w:rFonts w:ascii="Verdana" w:hAnsi="Verdana"/>
          <w:b/>
          <w:bCs/>
        </w:rPr>
      </w:pPr>
      <w:r w:rsidRPr="00047E9B">
        <w:rPr>
          <w:rStyle w:val="Heading1Char"/>
          <w:rFonts w:ascii="Verdana" w:hAnsi="Verdana"/>
          <w:b/>
          <w:bCs/>
          <w:color w:val="auto"/>
          <w:sz w:val="32"/>
          <w:szCs w:val="32"/>
        </w:rPr>
        <w:t>Lifetime sexual assault experience</w:t>
      </w:r>
      <w:r w:rsidR="001C4531" w:rsidRPr="00047E9B">
        <w:rPr>
          <w:rFonts w:ascii="Verdana" w:hAnsi="Verdana"/>
          <w:b/>
          <w:bCs/>
        </w:rPr>
        <w:br/>
      </w:r>
      <w:r w:rsidR="27F91556" w:rsidRPr="00047E9B">
        <w:rPr>
          <w:rFonts w:ascii="Verdana" w:eastAsia="+mn-ea" w:hAnsi="Verdana" w:cs="+mn-cs"/>
          <w:kern w:val="24"/>
        </w:rPr>
        <w:t>Percent</w:t>
      </w:r>
      <w:r w:rsidRPr="00047E9B">
        <w:rPr>
          <w:rFonts w:ascii="Verdana" w:eastAsia="+mn-ea" w:hAnsi="Verdana" w:cs="+mn-cs"/>
          <w:kern w:val="24"/>
        </w:rPr>
        <w:t xml:space="preserve"> of people with lifetime sexual assault experience, by disability status</w:t>
      </w:r>
    </w:p>
    <w:p w14:paraId="2C3F7D09" w14:textId="6A3D4ECF" w:rsidR="00E03E19" w:rsidRPr="00047E9B" w:rsidRDefault="00E03E19" w:rsidP="001C4531">
      <w:pPr>
        <w:pStyle w:val="ListParagraph"/>
        <w:numPr>
          <w:ilvl w:val="0"/>
          <w:numId w:val="10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Disabled: 42</w:t>
      </w:r>
      <w:r w:rsidR="27F91556" w:rsidRPr="00047E9B">
        <w:rPr>
          <w:rFonts w:ascii="Verdana" w:hAnsi="Verdana"/>
        </w:rPr>
        <w:t xml:space="preserve"> percent</w:t>
      </w:r>
    </w:p>
    <w:p w14:paraId="4389D826" w14:textId="4C9635C0" w:rsidR="00E03E19" w:rsidRPr="00047E9B" w:rsidRDefault="00E03E19" w:rsidP="001C4531">
      <w:pPr>
        <w:pStyle w:val="ListParagraph"/>
        <w:numPr>
          <w:ilvl w:val="0"/>
          <w:numId w:val="10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Non-disabled: 24</w:t>
      </w:r>
      <w:r w:rsidR="27F91556" w:rsidRPr="00047E9B">
        <w:rPr>
          <w:rFonts w:ascii="Verdana" w:hAnsi="Verdana"/>
        </w:rPr>
        <w:t xml:space="preserve"> percent</w:t>
      </w:r>
    </w:p>
    <w:p w14:paraId="35D71E7D" w14:textId="5EAF52E1" w:rsidR="009D2D48" w:rsidRPr="00047E9B" w:rsidRDefault="009D2D48" w:rsidP="001C4531">
      <w:pPr>
        <w:spacing w:before="100" w:beforeAutospacing="1" w:after="100" w:afterAutospacing="1"/>
        <w:rPr>
          <w:rFonts w:ascii="Verdana" w:hAnsi="Verdana"/>
        </w:rPr>
      </w:pPr>
      <w:r w:rsidRPr="00047E9B">
        <w:rPr>
          <w:rFonts w:ascii="Verdana" w:hAnsi="Verdana"/>
        </w:rPr>
        <w:t>Source: New Zealand Crime and Victims Survey, cycle 1-7 pooled</w:t>
      </w:r>
    </w:p>
    <w:p w14:paraId="1E5EDA7C" w14:textId="00E805FE" w:rsidR="00A91C7E" w:rsidRPr="00047E9B" w:rsidRDefault="00A91C7E" w:rsidP="001C4531">
      <w:pPr>
        <w:pStyle w:val="NormalWeb"/>
        <w:rPr>
          <w:rFonts w:ascii="Verdana" w:hAnsi="Verdana"/>
        </w:rPr>
      </w:pPr>
      <w:r w:rsidRPr="00047E9B">
        <w:rPr>
          <w:rStyle w:val="Heading1Char"/>
          <w:rFonts w:ascii="Verdana" w:hAnsi="Verdana"/>
          <w:b/>
          <w:bCs/>
          <w:color w:val="auto"/>
          <w:sz w:val="32"/>
          <w:szCs w:val="32"/>
        </w:rPr>
        <w:lastRenderedPageBreak/>
        <w:t>Lifetime partner assault experience</w:t>
      </w:r>
      <w:r w:rsidR="001C4531" w:rsidRPr="00047E9B">
        <w:rPr>
          <w:rFonts w:ascii="Verdana" w:hAnsi="Verdana"/>
        </w:rPr>
        <w:br/>
      </w:r>
      <w:r w:rsidR="27F91556" w:rsidRPr="00047E9B">
        <w:rPr>
          <w:rFonts w:ascii="Verdana" w:eastAsia="+mn-ea" w:hAnsi="Verdana" w:cs="+mn-cs"/>
          <w:kern w:val="24"/>
        </w:rPr>
        <w:t>Percent</w:t>
      </w:r>
      <w:r w:rsidRPr="00047E9B">
        <w:rPr>
          <w:rFonts w:ascii="Verdana" w:eastAsia="+mn-ea" w:hAnsi="Verdana" w:cs="+mn-cs"/>
          <w:kern w:val="24"/>
        </w:rPr>
        <w:t xml:space="preserve"> of people with lifetime partner assault experience, by disability status</w:t>
      </w:r>
    </w:p>
    <w:p w14:paraId="0A6CA5D7" w14:textId="2D18807F" w:rsidR="00A91C7E" w:rsidRPr="00047E9B" w:rsidRDefault="00A91C7E" w:rsidP="001C4531">
      <w:pPr>
        <w:pStyle w:val="ListParagraph"/>
        <w:numPr>
          <w:ilvl w:val="0"/>
          <w:numId w:val="1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 xml:space="preserve">Disabled: </w:t>
      </w:r>
      <w:r w:rsidR="005678FF" w:rsidRPr="00047E9B">
        <w:rPr>
          <w:rFonts w:ascii="Verdana" w:hAnsi="Verdana"/>
        </w:rPr>
        <w:t>33</w:t>
      </w:r>
      <w:r w:rsidR="27F91556" w:rsidRPr="00047E9B">
        <w:rPr>
          <w:rFonts w:ascii="Verdana" w:hAnsi="Verdana"/>
        </w:rPr>
        <w:t xml:space="preserve"> percent</w:t>
      </w:r>
    </w:p>
    <w:p w14:paraId="0522D5FE" w14:textId="6EAFB13F" w:rsidR="00A91C7E" w:rsidRPr="00047E9B" w:rsidRDefault="00A91C7E" w:rsidP="001C4531">
      <w:pPr>
        <w:pStyle w:val="ListParagraph"/>
        <w:numPr>
          <w:ilvl w:val="0"/>
          <w:numId w:val="1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 xml:space="preserve">Non-disabled: </w:t>
      </w:r>
      <w:r w:rsidR="005678FF" w:rsidRPr="00047E9B">
        <w:rPr>
          <w:rFonts w:ascii="Verdana" w:hAnsi="Verdana"/>
        </w:rPr>
        <w:t>16</w:t>
      </w:r>
      <w:r w:rsidR="27F91556" w:rsidRPr="00047E9B">
        <w:rPr>
          <w:rFonts w:ascii="Verdana" w:hAnsi="Verdana"/>
        </w:rPr>
        <w:t xml:space="preserve"> percent</w:t>
      </w:r>
    </w:p>
    <w:p w14:paraId="5515F33A" w14:textId="41FEDDCD" w:rsidR="116CCF27" w:rsidRDefault="00A91C7E" w:rsidP="00D229EA">
      <w:pPr>
        <w:spacing w:before="100" w:beforeAutospacing="1" w:after="100" w:afterAutospacing="1"/>
        <w:rPr>
          <w:rFonts w:ascii="Verdana" w:hAnsi="Verdana"/>
        </w:rPr>
      </w:pPr>
      <w:r w:rsidRPr="116CCF27">
        <w:rPr>
          <w:rFonts w:ascii="Verdana" w:hAnsi="Verdana"/>
        </w:rPr>
        <w:t>Source: New Zealand Crime and Victims Survey, cycle 1-7 pooled</w:t>
      </w:r>
    </w:p>
    <w:p w14:paraId="6B5B054F" w14:textId="5642DEDC" w:rsidR="00976CCF" w:rsidRPr="00047E9B" w:rsidRDefault="00976CCF" w:rsidP="001C4531">
      <w:pPr>
        <w:pStyle w:val="NormalWeb"/>
        <w:rPr>
          <w:rFonts w:ascii="Verdana" w:hAnsi="Verdana"/>
        </w:rPr>
      </w:pPr>
      <w:r w:rsidRPr="00047E9B">
        <w:rPr>
          <w:rStyle w:val="Heading1Char"/>
          <w:rFonts w:ascii="Verdana" w:hAnsi="Verdana"/>
          <w:b/>
          <w:bCs/>
          <w:color w:val="auto"/>
          <w:sz w:val="32"/>
          <w:szCs w:val="32"/>
        </w:rPr>
        <w:t>Disabled young people more likely to have been hit by an adult in their home</w:t>
      </w:r>
      <w:r w:rsidR="001C4531" w:rsidRPr="00047E9B">
        <w:rPr>
          <w:rFonts w:ascii="Verdana" w:hAnsi="Verdana"/>
        </w:rPr>
        <w:br/>
      </w:r>
      <w:r w:rsidR="27F91556" w:rsidRPr="00047E9B">
        <w:rPr>
          <w:rFonts w:ascii="Verdana" w:eastAsia="+mn-ea" w:hAnsi="Verdana" w:cs="+mn-cs"/>
          <w:kern w:val="24"/>
        </w:rPr>
        <w:t>Percent</w:t>
      </w:r>
      <w:r w:rsidRPr="00047E9B">
        <w:rPr>
          <w:rFonts w:ascii="Verdana" w:eastAsia="+mn-ea" w:hAnsi="Verdana" w:cs="+mn-cs"/>
          <w:kern w:val="24"/>
        </w:rPr>
        <w:t xml:space="preserve"> of students in secondary schools who were physically hurt by an adult in the places they usually live (in past 12 months), by </w:t>
      </w:r>
      <w:proofErr w:type="gramStart"/>
      <w:r w:rsidRPr="00047E9B">
        <w:rPr>
          <w:rFonts w:ascii="Verdana" w:eastAsia="+mn-ea" w:hAnsi="Verdana" w:cs="+mn-cs"/>
          <w:kern w:val="24"/>
        </w:rPr>
        <w:t>group</w:t>
      </w:r>
      <w:proofErr w:type="gramEnd"/>
    </w:p>
    <w:p w14:paraId="52356B5A" w14:textId="77777777" w:rsidR="0034453E" w:rsidRPr="00047E9B" w:rsidRDefault="00133620" w:rsidP="001C4531">
      <w:pPr>
        <w:pStyle w:val="ListParagraph"/>
        <w:numPr>
          <w:ilvl w:val="0"/>
          <w:numId w:val="13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Disabled: 18</w:t>
      </w:r>
      <w:r w:rsidR="27F91556" w:rsidRPr="00047E9B">
        <w:rPr>
          <w:rFonts w:ascii="Verdana" w:hAnsi="Verdana"/>
        </w:rPr>
        <w:t xml:space="preserve"> percent</w:t>
      </w:r>
    </w:p>
    <w:p w14:paraId="7541D20D" w14:textId="5101EEDD" w:rsidR="00976CCF" w:rsidRPr="00047E9B" w:rsidRDefault="00133620" w:rsidP="001C4531">
      <w:pPr>
        <w:pStyle w:val="ListParagraph"/>
        <w:numPr>
          <w:ilvl w:val="0"/>
          <w:numId w:val="13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Overall population: 10</w:t>
      </w:r>
      <w:r w:rsidR="27F91556" w:rsidRPr="00047E9B">
        <w:rPr>
          <w:rFonts w:ascii="Verdana" w:hAnsi="Verdana"/>
        </w:rPr>
        <w:t xml:space="preserve"> percent</w:t>
      </w:r>
    </w:p>
    <w:p w14:paraId="662EA82B" w14:textId="6A1BF06C" w:rsidR="116CCF27" w:rsidRDefault="00E03E42" w:rsidP="116CCF27">
      <w:pPr>
        <w:pStyle w:val="NormalWeb"/>
        <w:rPr>
          <w:rFonts w:ascii="Verdana" w:eastAsiaTheme="minorEastAsia" w:hAnsi="Verdana" w:cstheme="minorBidi"/>
          <w:lang w:val="en-US" w:eastAsia="ja-JP"/>
        </w:rPr>
      </w:pPr>
      <w:r w:rsidRPr="116CCF27">
        <w:rPr>
          <w:rFonts w:ascii="Verdana" w:eastAsiaTheme="minorEastAsia" w:hAnsi="Verdana" w:cstheme="minorBidi"/>
          <w:lang w:val="en-US" w:eastAsia="ja-JP"/>
        </w:rPr>
        <w:t>Source: Youth Health and Wellbeing Survey 2021</w:t>
      </w:r>
    </w:p>
    <w:p w14:paraId="02EDC78F" w14:textId="567CDB22" w:rsidR="0097296B" w:rsidRPr="00047E9B" w:rsidRDefault="0097296B" w:rsidP="001C4531">
      <w:pPr>
        <w:pStyle w:val="NormalWeb"/>
        <w:rPr>
          <w:rFonts w:ascii="Verdana" w:hAnsi="Verdana"/>
          <w:b/>
          <w:bCs/>
          <w:sz w:val="22"/>
          <w:szCs w:val="22"/>
        </w:rPr>
      </w:pPr>
      <w:r w:rsidRPr="00047E9B">
        <w:rPr>
          <w:rStyle w:val="Heading1Char"/>
          <w:rFonts w:ascii="Verdana" w:hAnsi="Verdana"/>
          <w:b/>
          <w:bCs/>
          <w:color w:val="auto"/>
          <w:sz w:val="32"/>
          <w:szCs w:val="32"/>
        </w:rPr>
        <w:t>Disabled young people feel less safe</w:t>
      </w:r>
      <w:r w:rsidR="00FC4079" w:rsidRPr="00047E9B">
        <w:rPr>
          <w:rFonts w:ascii="Verdana" w:hAnsi="Verdana"/>
          <w:b/>
          <w:bCs/>
          <w:sz w:val="22"/>
          <w:szCs w:val="22"/>
        </w:rPr>
        <w:br/>
      </w:r>
      <w:r w:rsidRPr="00047E9B">
        <w:rPr>
          <w:rFonts w:ascii="Verdana" w:eastAsia="+mn-ea" w:hAnsi="Verdana" w:cs="+mn-cs"/>
          <w:kern w:val="24"/>
        </w:rPr>
        <w:t xml:space="preserve">Students in secondary schools mean rating of feeling of safety (0-10 scale), by location and </w:t>
      </w:r>
      <w:proofErr w:type="gramStart"/>
      <w:r w:rsidRPr="00047E9B">
        <w:rPr>
          <w:rFonts w:ascii="Verdana" w:eastAsia="+mn-ea" w:hAnsi="Verdana" w:cs="+mn-cs"/>
          <w:kern w:val="24"/>
        </w:rPr>
        <w:t>group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7E9B" w:rsidRPr="00047E9B" w14:paraId="3EBE29AA" w14:textId="77777777" w:rsidTr="00345073">
        <w:tc>
          <w:tcPr>
            <w:tcW w:w="3116" w:type="dxa"/>
          </w:tcPr>
          <w:p w14:paraId="30F82217" w14:textId="77777777" w:rsidR="00345073" w:rsidRPr="00047E9B" w:rsidRDefault="00345073" w:rsidP="001C4531">
            <w:pPr>
              <w:pStyle w:val="NormalWeb"/>
              <w:rPr>
                <w:rFonts w:ascii="Verdana" w:hAnsi="Verdana"/>
              </w:rPr>
            </w:pPr>
          </w:p>
        </w:tc>
        <w:tc>
          <w:tcPr>
            <w:tcW w:w="3117" w:type="dxa"/>
          </w:tcPr>
          <w:p w14:paraId="3A40A525" w14:textId="77777777" w:rsidR="00345073" w:rsidRPr="00047E9B" w:rsidRDefault="00345073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Disabled</w:t>
            </w:r>
          </w:p>
        </w:tc>
        <w:tc>
          <w:tcPr>
            <w:tcW w:w="3117" w:type="dxa"/>
          </w:tcPr>
          <w:p w14:paraId="5D0C5FA5" w14:textId="4EDECE60" w:rsidR="0012414C" w:rsidRPr="00047E9B" w:rsidRDefault="00345073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Overall Population</w:t>
            </w:r>
          </w:p>
        </w:tc>
      </w:tr>
      <w:tr w:rsidR="00047E9B" w:rsidRPr="00047E9B" w14:paraId="580360F7" w14:textId="77777777" w:rsidTr="00345073">
        <w:tc>
          <w:tcPr>
            <w:tcW w:w="3116" w:type="dxa"/>
          </w:tcPr>
          <w:p w14:paraId="205127BD" w14:textId="77777777" w:rsidR="00345073" w:rsidRPr="00047E9B" w:rsidRDefault="00345073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At work</w:t>
            </w:r>
          </w:p>
        </w:tc>
        <w:tc>
          <w:tcPr>
            <w:tcW w:w="3117" w:type="dxa"/>
          </w:tcPr>
          <w:p w14:paraId="646E545A" w14:textId="77777777" w:rsidR="00345073" w:rsidRPr="00047E9B" w:rsidRDefault="00345073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7.5</w:t>
            </w:r>
          </w:p>
        </w:tc>
        <w:tc>
          <w:tcPr>
            <w:tcW w:w="3117" w:type="dxa"/>
          </w:tcPr>
          <w:p w14:paraId="77A6E09A" w14:textId="77777777" w:rsidR="00345073" w:rsidRPr="00047E9B" w:rsidRDefault="00345073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8.1</w:t>
            </w:r>
          </w:p>
        </w:tc>
      </w:tr>
      <w:tr w:rsidR="00047E9B" w:rsidRPr="00047E9B" w14:paraId="69165D75" w14:textId="77777777" w:rsidTr="00345073">
        <w:tc>
          <w:tcPr>
            <w:tcW w:w="3116" w:type="dxa"/>
          </w:tcPr>
          <w:p w14:paraId="14ABC8A9" w14:textId="77777777" w:rsidR="00345073" w:rsidRPr="00047E9B" w:rsidRDefault="00345073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At school</w:t>
            </w:r>
          </w:p>
        </w:tc>
        <w:tc>
          <w:tcPr>
            <w:tcW w:w="3117" w:type="dxa"/>
          </w:tcPr>
          <w:p w14:paraId="1D3DC893" w14:textId="77777777" w:rsidR="00345073" w:rsidRPr="00047E9B" w:rsidRDefault="00345073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6.7</w:t>
            </w:r>
          </w:p>
        </w:tc>
        <w:tc>
          <w:tcPr>
            <w:tcW w:w="3117" w:type="dxa"/>
          </w:tcPr>
          <w:p w14:paraId="66446653" w14:textId="77777777" w:rsidR="00345073" w:rsidRPr="00047E9B" w:rsidRDefault="00345073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7.7</w:t>
            </w:r>
          </w:p>
        </w:tc>
      </w:tr>
      <w:tr w:rsidR="00047E9B" w:rsidRPr="00047E9B" w14:paraId="1B96C101" w14:textId="77777777" w:rsidTr="00345073">
        <w:tc>
          <w:tcPr>
            <w:tcW w:w="3116" w:type="dxa"/>
          </w:tcPr>
          <w:p w14:paraId="1A0C5382" w14:textId="77777777" w:rsidR="00345073" w:rsidRPr="00047E9B" w:rsidRDefault="00345073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Where I usually live</w:t>
            </w:r>
          </w:p>
        </w:tc>
        <w:tc>
          <w:tcPr>
            <w:tcW w:w="3117" w:type="dxa"/>
          </w:tcPr>
          <w:p w14:paraId="65EC5B52" w14:textId="77777777" w:rsidR="00345073" w:rsidRPr="00047E9B" w:rsidRDefault="00345073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7.9</w:t>
            </w:r>
          </w:p>
        </w:tc>
        <w:tc>
          <w:tcPr>
            <w:tcW w:w="3117" w:type="dxa"/>
          </w:tcPr>
          <w:p w14:paraId="3778425D" w14:textId="77777777" w:rsidR="00345073" w:rsidRPr="00047E9B" w:rsidRDefault="00345073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8.8</w:t>
            </w:r>
          </w:p>
        </w:tc>
      </w:tr>
      <w:tr w:rsidR="00047E9B" w:rsidRPr="00047E9B" w14:paraId="2B21FDE0" w14:textId="77777777" w:rsidTr="00345073">
        <w:tc>
          <w:tcPr>
            <w:tcW w:w="3116" w:type="dxa"/>
          </w:tcPr>
          <w:p w14:paraId="01770754" w14:textId="77777777" w:rsidR="00345073" w:rsidRPr="00047E9B" w:rsidRDefault="00345073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In the community where I live</w:t>
            </w:r>
          </w:p>
        </w:tc>
        <w:tc>
          <w:tcPr>
            <w:tcW w:w="3117" w:type="dxa"/>
          </w:tcPr>
          <w:p w14:paraId="4E60CB53" w14:textId="371F7DEE" w:rsidR="00345073" w:rsidRPr="00047E9B" w:rsidRDefault="00345073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7</w:t>
            </w:r>
            <w:r w:rsidR="584229F8" w:rsidRPr="00047E9B">
              <w:rPr>
                <w:rFonts w:ascii="Verdana" w:hAnsi="Verdana"/>
              </w:rPr>
              <w:t>.0</w:t>
            </w:r>
          </w:p>
        </w:tc>
        <w:tc>
          <w:tcPr>
            <w:tcW w:w="3117" w:type="dxa"/>
          </w:tcPr>
          <w:p w14:paraId="726516A0" w14:textId="77777777" w:rsidR="00345073" w:rsidRPr="00047E9B" w:rsidRDefault="00345073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7.9</w:t>
            </w:r>
          </w:p>
        </w:tc>
      </w:tr>
    </w:tbl>
    <w:p w14:paraId="71C09F5D" w14:textId="77777777" w:rsidR="00E4568F" w:rsidRPr="00047E9B" w:rsidRDefault="00E4568F" w:rsidP="001C4531">
      <w:pPr>
        <w:pStyle w:val="NormalWeb"/>
        <w:rPr>
          <w:rFonts w:ascii="Verdana" w:eastAsiaTheme="minorEastAsia" w:hAnsi="Verdana" w:cstheme="minorBidi"/>
          <w:lang w:val="en-US" w:eastAsia="ja-JP"/>
        </w:rPr>
      </w:pPr>
      <w:r w:rsidRPr="00047E9B">
        <w:rPr>
          <w:rFonts w:ascii="Verdana" w:eastAsiaTheme="minorEastAsia" w:hAnsi="Verdana" w:cstheme="minorBidi"/>
          <w:lang w:val="en-US" w:eastAsia="ja-JP"/>
        </w:rPr>
        <w:t>Source: Youth Health and Wellbeing Survey 2021</w:t>
      </w:r>
    </w:p>
    <w:p w14:paraId="262F8C05" w14:textId="77777777" w:rsidR="00576C1B" w:rsidRPr="00047E9B" w:rsidRDefault="00576C1B">
      <w:pPr>
        <w:rPr>
          <w:rStyle w:val="Heading1Char"/>
          <w:rFonts w:ascii="Verdana" w:hAnsi="Verdana"/>
          <w:b/>
          <w:bCs/>
          <w:color w:val="auto"/>
          <w:sz w:val="32"/>
          <w:szCs w:val="32"/>
          <w:lang w:val="en-NZ" w:eastAsia="en-NZ"/>
        </w:rPr>
      </w:pPr>
      <w:r w:rsidRPr="00047E9B">
        <w:rPr>
          <w:rStyle w:val="Heading1Char"/>
          <w:rFonts w:ascii="Verdana" w:hAnsi="Verdana"/>
          <w:b/>
          <w:bCs/>
          <w:color w:val="auto"/>
          <w:sz w:val="32"/>
          <w:szCs w:val="32"/>
        </w:rPr>
        <w:br w:type="page"/>
      </w:r>
    </w:p>
    <w:p w14:paraId="6C580491" w14:textId="05B259E6" w:rsidR="008C1CC6" w:rsidRPr="00047E9B" w:rsidRDefault="008C1CC6" w:rsidP="001C4531">
      <w:pPr>
        <w:pStyle w:val="NormalWeb"/>
        <w:rPr>
          <w:rFonts w:ascii="Verdana" w:hAnsi="Verdana"/>
        </w:rPr>
      </w:pPr>
      <w:r w:rsidRPr="00047E9B">
        <w:rPr>
          <w:rStyle w:val="Heading1Char"/>
          <w:rFonts w:ascii="Verdana" w:hAnsi="Verdana"/>
          <w:b/>
          <w:bCs/>
          <w:color w:val="auto"/>
          <w:sz w:val="32"/>
          <w:szCs w:val="32"/>
        </w:rPr>
        <w:lastRenderedPageBreak/>
        <w:t>Young people more likely to experience crime</w:t>
      </w:r>
      <w:r w:rsidR="001C4531" w:rsidRPr="00047E9B">
        <w:rPr>
          <w:rStyle w:val="Heading1Char"/>
          <w:rFonts w:ascii="Verdana" w:hAnsi="Verdana"/>
          <w:b/>
          <w:bCs/>
          <w:color w:val="auto"/>
          <w:sz w:val="32"/>
          <w:szCs w:val="32"/>
        </w:rPr>
        <w:br/>
      </w:r>
      <w:r w:rsidRPr="00047E9B">
        <w:rPr>
          <w:rFonts w:ascii="Verdana" w:eastAsia="+mn-ea" w:hAnsi="Verdana" w:cs="+mn-cs"/>
          <w:kern w:val="24"/>
        </w:rPr>
        <w:t>Age standardised victimisation rate (</w:t>
      </w:r>
      <w:r w:rsidR="27F91556" w:rsidRPr="00047E9B">
        <w:rPr>
          <w:rFonts w:ascii="Verdana" w:eastAsia="+mn-ea" w:hAnsi="Verdana" w:cs="+mn-cs"/>
          <w:kern w:val="24"/>
        </w:rPr>
        <w:t>percent</w:t>
      </w:r>
      <w:r w:rsidRPr="00047E9B">
        <w:rPr>
          <w:rFonts w:ascii="Verdana" w:eastAsia="+mn-ea" w:hAnsi="Verdana" w:cs="+mn-cs"/>
          <w:kern w:val="24"/>
        </w:rPr>
        <w:t xml:space="preserve">), by age group and disability </w:t>
      </w:r>
      <w:proofErr w:type="gramStart"/>
      <w:r w:rsidRPr="00047E9B">
        <w:rPr>
          <w:rFonts w:ascii="Verdana" w:eastAsia="+mn-ea" w:hAnsi="Verdana" w:cs="+mn-cs"/>
          <w:kern w:val="24"/>
        </w:rPr>
        <w:t>status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7E9B" w:rsidRPr="00047E9B" w14:paraId="2B0A805D" w14:textId="77777777" w:rsidTr="00E4568F">
        <w:tc>
          <w:tcPr>
            <w:tcW w:w="3116" w:type="dxa"/>
          </w:tcPr>
          <w:p w14:paraId="4DC02C53" w14:textId="77777777" w:rsidR="00E4568F" w:rsidRPr="00047E9B" w:rsidRDefault="00E4568F" w:rsidP="001C4531">
            <w:pPr>
              <w:pStyle w:val="NormalWeb"/>
              <w:rPr>
                <w:rFonts w:ascii="Verdana" w:hAnsi="Verdana"/>
              </w:rPr>
            </w:pPr>
          </w:p>
        </w:tc>
        <w:tc>
          <w:tcPr>
            <w:tcW w:w="3117" w:type="dxa"/>
          </w:tcPr>
          <w:p w14:paraId="60713A4D" w14:textId="77777777" w:rsidR="00E4568F" w:rsidRPr="00047E9B" w:rsidRDefault="00E4568F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Non-disabled</w:t>
            </w:r>
          </w:p>
        </w:tc>
        <w:tc>
          <w:tcPr>
            <w:tcW w:w="3117" w:type="dxa"/>
          </w:tcPr>
          <w:p w14:paraId="72D6871E" w14:textId="77777777" w:rsidR="00E4568F" w:rsidRPr="00047E9B" w:rsidRDefault="00E4568F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Disabled</w:t>
            </w:r>
          </w:p>
        </w:tc>
      </w:tr>
      <w:tr w:rsidR="00047E9B" w:rsidRPr="00047E9B" w14:paraId="675E763B" w14:textId="77777777" w:rsidTr="00E4568F">
        <w:tc>
          <w:tcPr>
            <w:tcW w:w="3116" w:type="dxa"/>
          </w:tcPr>
          <w:p w14:paraId="4CEB2A01" w14:textId="77777777" w:rsidR="00E4568F" w:rsidRPr="00047E9B" w:rsidRDefault="00E4568F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15-25 years</w:t>
            </w:r>
          </w:p>
        </w:tc>
        <w:tc>
          <w:tcPr>
            <w:tcW w:w="3117" w:type="dxa"/>
          </w:tcPr>
          <w:p w14:paraId="74B7475F" w14:textId="539D4AC0" w:rsidR="00E4568F" w:rsidRPr="00047E9B" w:rsidRDefault="007C4C32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35 percent</w:t>
            </w:r>
          </w:p>
        </w:tc>
        <w:tc>
          <w:tcPr>
            <w:tcW w:w="3117" w:type="dxa"/>
          </w:tcPr>
          <w:p w14:paraId="3639EDA4" w14:textId="316B323F" w:rsidR="00E4568F" w:rsidRPr="00047E9B" w:rsidRDefault="007C4C32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57 percent</w:t>
            </w:r>
          </w:p>
        </w:tc>
      </w:tr>
      <w:tr w:rsidR="00047E9B" w:rsidRPr="00047E9B" w14:paraId="7FBF6159" w14:textId="77777777" w:rsidTr="00E4568F">
        <w:tc>
          <w:tcPr>
            <w:tcW w:w="3116" w:type="dxa"/>
          </w:tcPr>
          <w:p w14:paraId="2DEAA47B" w14:textId="77777777" w:rsidR="00E4568F" w:rsidRPr="00047E9B" w:rsidRDefault="00E4568F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26-64 years</w:t>
            </w:r>
          </w:p>
        </w:tc>
        <w:tc>
          <w:tcPr>
            <w:tcW w:w="3117" w:type="dxa"/>
          </w:tcPr>
          <w:p w14:paraId="1DB4BD81" w14:textId="13EA64D1" w:rsidR="00E4568F" w:rsidRPr="00047E9B" w:rsidRDefault="007C4C32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32 percent</w:t>
            </w:r>
          </w:p>
        </w:tc>
        <w:tc>
          <w:tcPr>
            <w:tcW w:w="3117" w:type="dxa"/>
          </w:tcPr>
          <w:p w14:paraId="39D6C7E5" w14:textId="31F61C8E" w:rsidR="00E4568F" w:rsidRPr="00047E9B" w:rsidRDefault="007C4C32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40 percent</w:t>
            </w:r>
          </w:p>
        </w:tc>
      </w:tr>
      <w:tr w:rsidR="00047E9B" w:rsidRPr="00047E9B" w14:paraId="3048650A" w14:textId="77777777" w:rsidTr="00E4568F">
        <w:tc>
          <w:tcPr>
            <w:tcW w:w="3116" w:type="dxa"/>
          </w:tcPr>
          <w:p w14:paraId="6C068645" w14:textId="77777777" w:rsidR="00E4568F" w:rsidRPr="00047E9B" w:rsidRDefault="00E4568F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65 years and over</w:t>
            </w:r>
          </w:p>
        </w:tc>
        <w:tc>
          <w:tcPr>
            <w:tcW w:w="3117" w:type="dxa"/>
          </w:tcPr>
          <w:p w14:paraId="5159F77B" w14:textId="06662796" w:rsidR="00E4568F" w:rsidRPr="00047E9B" w:rsidRDefault="00003DFF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19 percent</w:t>
            </w:r>
          </w:p>
        </w:tc>
        <w:tc>
          <w:tcPr>
            <w:tcW w:w="3117" w:type="dxa"/>
          </w:tcPr>
          <w:p w14:paraId="0378119D" w14:textId="4D264CB0" w:rsidR="00E4568F" w:rsidRPr="00047E9B" w:rsidRDefault="00003DFF" w:rsidP="001C4531">
            <w:pPr>
              <w:pStyle w:val="NormalWeb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24 percent</w:t>
            </w:r>
          </w:p>
        </w:tc>
      </w:tr>
    </w:tbl>
    <w:p w14:paraId="1EA129A2" w14:textId="4735DEF1" w:rsidR="0012414C" w:rsidRPr="00047E9B" w:rsidRDefault="00410FAD" w:rsidP="001C4531">
      <w:pPr>
        <w:spacing w:before="100" w:beforeAutospacing="1" w:after="100" w:afterAutospacing="1"/>
        <w:rPr>
          <w:rFonts w:ascii="Verdana" w:hAnsi="Verdana"/>
        </w:rPr>
      </w:pPr>
      <w:r w:rsidRPr="00047E9B">
        <w:rPr>
          <w:rFonts w:ascii="Verdana" w:hAnsi="Verdana"/>
        </w:rPr>
        <w:t>Source: New Zealand Crime and Victims Survey, cycle 1-6 pooled</w:t>
      </w:r>
    </w:p>
    <w:p w14:paraId="33A1BC54" w14:textId="408ED2B8" w:rsidR="00410FAD" w:rsidRPr="00047E9B" w:rsidRDefault="002608DD" w:rsidP="001C4531">
      <w:pPr>
        <w:pStyle w:val="NormalWeb"/>
        <w:rPr>
          <w:rFonts w:ascii="Verdana" w:hAnsi="Verdana"/>
        </w:rPr>
      </w:pPr>
      <w:r w:rsidRPr="00047E9B">
        <w:rPr>
          <w:rStyle w:val="Heading1Char"/>
          <w:rFonts w:ascii="Verdana" w:hAnsi="Verdana"/>
          <w:b/>
          <w:bCs/>
          <w:color w:val="auto"/>
          <w:sz w:val="32"/>
          <w:szCs w:val="32"/>
        </w:rPr>
        <w:t>Disabled young people more likely to experience unwanted sexual touches</w:t>
      </w:r>
      <w:r w:rsidR="001C4531" w:rsidRPr="00047E9B">
        <w:rPr>
          <w:rFonts w:ascii="Verdana" w:hAnsi="Verdana"/>
        </w:rPr>
        <w:br/>
      </w:r>
      <w:r w:rsidR="27F91556" w:rsidRPr="00047E9B">
        <w:rPr>
          <w:rFonts w:ascii="Verdana" w:eastAsia="+mn-ea" w:hAnsi="Verdana" w:cs="+mn-cs"/>
          <w:kern w:val="24"/>
        </w:rPr>
        <w:t>Percent</w:t>
      </w:r>
      <w:r w:rsidRPr="00047E9B">
        <w:rPr>
          <w:rFonts w:ascii="Verdana" w:eastAsia="+mn-ea" w:hAnsi="Verdana" w:cs="+mn-cs"/>
          <w:kern w:val="24"/>
        </w:rPr>
        <w:t xml:space="preserve"> of students in secondary schools who have experienced unwanted sexual contact, by </w:t>
      </w:r>
      <w:proofErr w:type="gramStart"/>
      <w:r w:rsidRPr="00047E9B">
        <w:rPr>
          <w:rFonts w:ascii="Verdana" w:eastAsia="+mn-ea" w:hAnsi="Verdana" w:cs="+mn-cs"/>
          <w:kern w:val="24"/>
        </w:rPr>
        <w:t>group</w:t>
      </w:r>
      <w:proofErr w:type="gramEnd"/>
    </w:p>
    <w:p w14:paraId="46173F36" w14:textId="64AE7ED3" w:rsidR="002608DD" w:rsidRPr="00047E9B" w:rsidRDefault="002608DD" w:rsidP="001C4531">
      <w:pPr>
        <w:pStyle w:val="ListParagraph"/>
        <w:numPr>
          <w:ilvl w:val="0"/>
          <w:numId w:val="14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Disabled: 32</w:t>
      </w:r>
      <w:r w:rsidR="27F91556" w:rsidRPr="00047E9B">
        <w:rPr>
          <w:rFonts w:ascii="Verdana" w:hAnsi="Verdana"/>
        </w:rPr>
        <w:t xml:space="preserve"> percent</w:t>
      </w:r>
    </w:p>
    <w:p w14:paraId="2535DEAE" w14:textId="79BB85CA" w:rsidR="002608DD" w:rsidRPr="00047E9B" w:rsidRDefault="002608DD" w:rsidP="001C4531">
      <w:pPr>
        <w:pStyle w:val="ListParagraph"/>
        <w:numPr>
          <w:ilvl w:val="0"/>
          <w:numId w:val="14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Overall population: 19</w:t>
      </w:r>
      <w:r w:rsidR="27F91556" w:rsidRPr="00047E9B">
        <w:rPr>
          <w:rFonts w:ascii="Verdana" w:hAnsi="Verdana"/>
        </w:rPr>
        <w:t xml:space="preserve"> percent</w:t>
      </w:r>
    </w:p>
    <w:p w14:paraId="13B1FB6F" w14:textId="538FEC26" w:rsidR="002608DD" w:rsidRPr="00047E9B" w:rsidRDefault="00D60C9C" w:rsidP="001C4531">
      <w:pPr>
        <w:spacing w:before="100" w:beforeAutospacing="1" w:after="100" w:afterAutospacing="1"/>
        <w:rPr>
          <w:rFonts w:ascii="Verdana" w:hAnsi="Verdana"/>
        </w:rPr>
      </w:pPr>
      <w:r w:rsidRPr="00047E9B">
        <w:rPr>
          <w:rFonts w:ascii="Verdana" w:hAnsi="Verdana"/>
        </w:rPr>
        <w:t>Source: Youth Health and Wellbeing Survey 2021</w:t>
      </w:r>
    </w:p>
    <w:p w14:paraId="47BEDC48" w14:textId="27AEC9F7" w:rsidR="00495073" w:rsidRPr="00047E9B" w:rsidRDefault="00495073" w:rsidP="001C4531">
      <w:pPr>
        <w:pStyle w:val="NormalWeb"/>
        <w:rPr>
          <w:rFonts w:ascii="Verdana" w:hAnsi="Verdana"/>
        </w:rPr>
      </w:pPr>
      <w:r w:rsidRPr="00047E9B">
        <w:rPr>
          <w:rStyle w:val="Heading1Char"/>
          <w:rFonts w:ascii="Verdana" w:hAnsi="Verdana"/>
          <w:b/>
          <w:bCs/>
          <w:color w:val="auto"/>
          <w:sz w:val="32"/>
          <w:szCs w:val="32"/>
        </w:rPr>
        <w:t>Disabled adults less likely to feel safe</w:t>
      </w:r>
      <w:r w:rsidR="001C4531" w:rsidRPr="00047E9B">
        <w:rPr>
          <w:rFonts w:ascii="Verdana" w:hAnsi="Verdana"/>
        </w:rPr>
        <w:br/>
      </w:r>
      <w:r w:rsidR="27F91556" w:rsidRPr="00047E9B">
        <w:rPr>
          <w:rFonts w:ascii="Verdana" w:eastAsia="+mn-ea" w:hAnsi="Verdana" w:cs="+mn-cs"/>
          <w:kern w:val="24"/>
        </w:rPr>
        <w:t>Percent</w:t>
      </w:r>
      <w:r w:rsidRPr="00047E9B">
        <w:rPr>
          <w:rFonts w:ascii="Verdana" w:eastAsia="+mn-ea" w:hAnsi="Verdana" w:cs="+mn-cs"/>
          <w:kern w:val="24"/>
        </w:rPr>
        <w:t xml:space="preserve"> of people (ages 15-64) who felt safe, by activity and disability status</w:t>
      </w:r>
      <w:r w:rsidR="00A03E55" w:rsidRPr="00047E9B">
        <w:rPr>
          <w:rFonts w:ascii="Verdana" w:eastAsia="+mn-ea" w:hAnsi="Verdana" w:cs="+mn-cs"/>
          <w:kern w:val="24"/>
        </w:rPr>
        <w:t xml:space="preserve"> (* </w:t>
      </w:r>
      <w:r w:rsidR="001C4531" w:rsidRPr="00047E9B">
        <w:rPr>
          <w:rFonts w:ascii="Verdana" w:eastAsia="+mn-ea" w:hAnsi="Verdana" w:cs="+mn-cs"/>
          <w:kern w:val="24"/>
        </w:rPr>
        <w:t>indicates</w:t>
      </w:r>
      <w:r w:rsidR="00A03E55" w:rsidRPr="00047E9B">
        <w:rPr>
          <w:rFonts w:ascii="Verdana" w:eastAsia="+mn-ea" w:hAnsi="Verdana" w:cs="+mn-cs"/>
          <w:kern w:val="24"/>
        </w:rPr>
        <w:t xml:space="preserve"> </w:t>
      </w:r>
      <w:r w:rsidR="0FFE85B1" w:rsidRPr="00047E9B">
        <w:rPr>
          <w:rFonts w:ascii="Verdana" w:eastAsia="+mn-ea" w:hAnsi="Verdana" w:cs="+mn-cs"/>
          <w:kern w:val="24"/>
        </w:rPr>
        <w:t xml:space="preserve">a </w:t>
      </w:r>
      <w:r w:rsidR="7241DA96" w:rsidRPr="00047E9B">
        <w:rPr>
          <w:rFonts w:ascii="Verdana" w:eastAsia="+mn-ea" w:hAnsi="Verdana" w:cs="+mn-cs"/>
          <w:kern w:val="24"/>
        </w:rPr>
        <w:t xml:space="preserve">statistically </w:t>
      </w:r>
      <w:r w:rsidR="00A03E55" w:rsidRPr="00047E9B">
        <w:rPr>
          <w:rFonts w:ascii="Verdana" w:eastAsia="+mn-ea" w:hAnsi="Verdana" w:cs="+mn-cs"/>
          <w:kern w:val="24"/>
        </w:rPr>
        <w:t xml:space="preserve">significant </w:t>
      </w:r>
      <w:r w:rsidR="00184757" w:rsidRPr="00047E9B">
        <w:rPr>
          <w:rFonts w:ascii="Verdana" w:eastAsia="+mn-ea" w:hAnsi="Verdana" w:cs="+mn-cs"/>
          <w:kern w:val="24"/>
        </w:rPr>
        <w:t xml:space="preserve">difference between disabled </w:t>
      </w:r>
      <w:r w:rsidR="224F9849" w:rsidRPr="00047E9B">
        <w:rPr>
          <w:rFonts w:ascii="Verdana" w:eastAsia="+mn-ea" w:hAnsi="Verdana" w:cs="+mn-cs"/>
          <w:kern w:val="24"/>
        </w:rPr>
        <w:t>people</w:t>
      </w:r>
      <w:r w:rsidR="00184757" w:rsidRPr="00047E9B">
        <w:rPr>
          <w:rFonts w:ascii="Verdana" w:eastAsia="+mn-ea" w:hAnsi="Verdana" w:cs="+mn-cs"/>
          <w:kern w:val="24"/>
        </w:rPr>
        <w:t xml:space="preserve"> and non-disabled</w:t>
      </w:r>
      <w:r w:rsidR="4E73C2F9" w:rsidRPr="00047E9B">
        <w:rPr>
          <w:rFonts w:ascii="Verdana" w:eastAsia="+mn-ea" w:hAnsi="Verdana" w:cs="+mn-cs"/>
          <w:kern w:val="24"/>
        </w:rPr>
        <w:t xml:space="preserve"> people</w:t>
      </w:r>
      <w:r w:rsidR="00184757" w:rsidRPr="00047E9B">
        <w:rPr>
          <w:rFonts w:ascii="Verdana" w:eastAsia="+mn-ea" w:hAnsi="Verdana" w:cs="+mn-cs"/>
          <w:kern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7E9B" w:rsidRPr="00047E9B" w14:paraId="4635CE1E" w14:textId="77777777" w:rsidTr="00A03E55">
        <w:tc>
          <w:tcPr>
            <w:tcW w:w="3116" w:type="dxa"/>
          </w:tcPr>
          <w:p w14:paraId="1C00ED6A" w14:textId="77777777" w:rsidR="00A03E55" w:rsidRPr="00047E9B" w:rsidRDefault="00A03E55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  <w:tc>
          <w:tcPr>
            <w:tcW w:w="3117" w:type="dxa"/>
          </w:tcPr>
          <w:p w14:paraId="6AA0C3F6" w14:textId="77777777" w:rsidR="00A03E55" w:rsidRPr="00047E9B" w:rsidRDefault="00A03E55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Non-disabled</w:t>
            </w:r>
          </w:p>
        </w:tc>
        <w:tc>
          <w:tcPr>
            <w:tcW w:w="3117" w:type="dxa"/>
          </w:tcPr>
          <w:p w14:paraId="348AA702" w14:textId="77777777" w:rsidR="00A03E55" w:rsidRPr="00047E9B" w:rsidRDefault="00A03E55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Disabled</w:t>
            </w:r>
          </w:p>
        </w:tc>
      </w:tr>
      <w:tr w:rsidR="00047E9B" w:rsidRPr="00047E9B" w14:paraId="7B4F0A1A" w14:textId="77777777" w:rsidTr="00A03E55">
        <w:tc>
          <w:tcPr>
            <w:tcW w:w="3116" w:type="dxa"/>
          </w:tcPr>
          <w:p w14:paraId="19313F4D" w14:textId="317FF475" w:rsidR="00A03E55" w:rsidRPr="00047E9B" w:rsidRDefault="00A03E55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At home by yourself at night</w:t>
            </w:r>
            <w:r w:rsidR="00184757" w:rsidRPr="00047E9B">
              <w:rPr>
                <w:rFonts w:ascii="Verdana" w:hAnsi="Verdana"/>
              </w:rPr>
              <w:t>*</w:t>
            </w:r>
          </w:p>
        </w:tc>
        <w:tc>
          <w:tcPr>
            <w:tcW w:w="3117" w:type="dxa"/>
          </w:tcPr>
          <w:p w14:paraId="11561DC1" w14:textId="7C13B812" w:rsidR="00A03E55" w:rsidRPr="00047E9B" w:rsidRDefault="00A03E55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80.5</w:t>
            </w:r>
            <w:r w:rsidR="00003DFF" w:rsidRPr="00047E9B">
              <w:rPr>
                <w:rFonts w:ascii="Verdana" w:hAnsi="Verdana"/>
              </w:rPr>
              <w:t xml:space="preserve"> percent</w:t>
            </w:r>
          </w:p>
        </w:tc>
        <w:tc>
          <w:tcPr>
            <w:tcW w:w="3117" w:type="dxa"/>
          </w:tcPr>
          <w:p w14:paraId="2FC0321B" w14:textId="64BCFA47" w:rsidR="00A03E55" w:rsidRPr="00047E9B" w:rsidRDefault="00A03E55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70.2</w:t>
            </w:r>
            <w:r w:rsidR="00F81B6C" w:rsidRPr="00047E9B">
              <w:rPr>
                <w:rFonts w:ascii="Verdana" w:hAnsi="Verdana"/>
              </w:rPr>
              <w:t xml:space="preserve"> percent</w:t>
            </w:r>
          </w:p>
        </w:tc>
      </w:tr>
      <w:tr w:rsidR="00047E9B" w:rsidRPr="00047E9B" w14:paraId="086D9DEB" w14:textId="77777777" w:rsidTr="00A03E55">
        <w:tc>
          <w:tcPr>
            <w:tcW w:w="3116" w:type="dxa"/>
          </w:tcPr>
          <w:p w14:paraId="22436E8C" w14:textId="14D1E959" w:rsidR="00A03E55" w:rsidRPr="00047E9B" w:rsidRDefault="00A03E55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Using the internet for online transactions</w:t>
            </w:r>
            <w:r w:rsidR="00184757" w:rsidRPr="00047E9B">
              <w:rPr>
                <w:rFonts w:ascii="Verdana" w:hAnsi="Verdana"/>
              </w:rPr>
              <w:t>*</w:t>
            </w:r>
          </w:p>
        </w:tc>
        <w:tc>
          <w:tcPr>
            <w:tcW w:w="3117" w:type="dxa"/>
          </w:tcPr>
          <w:p w14:paraId="0FF4C84E" w14:textId="4CA164C2" w:rsidR="00A03E55" w:rsidRPr="00047E9B" w:rsidRDefault="00A03E55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68.1</w:t>
            </w:r>
            <w:r w:rsidR="00F81B6C" w:rsidRPr="00047E9B">
              <w:rPr>
                <w:rFonts w:ascii="Verdana" w:hAnsi="Verdana"/>
              </w:rPr>
              <w:t xml:space="preserve"> percent</w:t>
            </w:r>
          </w:p>
        </w:tc>
        <w:tc>
          <w:tcPr>
            <w:tcW w:w="3117" w:type="dxa"/>
          </w:tcPr>
          <w:p w14:paraId="3CB50AD7" w14:textId="0F290405" w:rsidR="00A03E55" w:rsidRPr="00047E9B" w:rsidRDefault="00A03E55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55.4</w:t>
            </w:r>
            <w:r w:rsidR="00F81B6C" w:rsidRPr="00047E9B">
              <w:rPr>
                <w:rFonts w:ascii="Verdana" w:hAnsi="Verdana"/>
              </w:rPr>
              <w:t xml:space="preserve"> percent</w:t>
            </w:r>
          </w:p>
        </w:tc>
      </w:tr>
      <w:tr w:rsidR="00047E9B" w:rsidRPr="00047E9B" w14:paraId="2FD61EA8" w14:textId="77777777" w:rsidTr="00A03E55">
        <w:tc>
          <w:tcPr>
            <w:tcW w:w="3116" w:type="dxa"/>
          </w:tcPr>
          <w:p w14:paraId="7050029B" w14:textId="53F1C1B0" w:rsidR="00A03E55" w:rsidRPr="00047E9B" w:rsidRDefault="00A03E55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 xml:space="preserve">Walking alone in the </w:t>
            </w:r>
            <w:proofErr w:type="spellStart"/>
            <w:r w:rsidRPr="00047E9B">
              <w:rPr>
                <w:rFonts w:ascii="Verdana" w:hAnsi="Verdana"/>
              </w:rPr>
              <w:t>neighbourhood</w:t>
            </w:r>
            <w:proofErr w:type="spellEnd"/>
            <w:r w:rsidRPr="00047E9B">
              <w:rPr>
                <w:rFonts w:ascii="Verdana" w:hAnsi="Verdana"/>
              </w:rPr>
              <w:t xml:space="preserve"> after dark</w:t>
            </w:r>
            <w:r w:rsidR="00184757" w:rsidRPr="00047E9B">
              <w:rPr>
                <w:rFonts w:ascii="Verdana" w:hAnsi="Verdana"/>
              </w:rPr>
              <w:t>*</w:t>
            </w:r>
          </w:p>
        </w:tc>
        <w:tc>
          <w:tcPr>
            <w:tcW w:w="3117" w:type="dxa"/>
          </w:tcPr>
          <w:p w14:paraId="4880E407" w14:textId="338DC876" w:rsidR="00A03E55" w:rsidRPr="00047E9B" w:rsidRDefault="00A03E55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56.4</w:t>
            </w:r>
            <w:r w:rsidR="00F81B6C" w:rsidRPr="00047E9B">
              <w:rPr>
                <w:rFonts w:ascii="Verdana" w:hAnsi="Verdana"/>
              </w:rPr>
              <w:t xml:space="preserve"> percent</w:t>
            </w:r>
          </w:p>
        </w:tc>
        <w:tc>
          <w:tcPr>
            <w:tcW w:w="3117" w:type="dxa"/>
          </w:tcPr>
          <w:p w14:paraId="13B8B3CB" w14:textId="7AF3917C" w:rsidR="00A03E55" w:rsidRPr="00047E9B" w:rsidRDefault="00A03E55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44.4</w:t>
            </w:r>
            <w:r w:rsidR="00F81B6C" w:rsidRPr="00047E9B">
              <w:rPr>
                <w:rFonts w:ascii="Verdana" w:hAnsi="Verdana"/>
              </w:rPr>
              <w:t xml:space="preserve"> percent</w:t>
            </w:r>
          </w:p>
        </w:tc>
      </w:tr>
      <w:tr w:rsidR="00047E9B" w:rsidRPr="00047E9B" w14:paraId="75B579F6" w14:textId="77777777" w:rsidTr="00A03E55">
        <w:tc>
          <w:tcPr>
            <w:tcW w:w="3116" w:type="dxa"/>
          </w:tcPr>
          <w:p w14:paraId="4462D771" w14:textId="7CA06C47" w:rsidR="00A03E55" w:rsidRPr="00047E9B" w:rsidRDefault="00A03E55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Using/waiting for public transport at night</w:t>
            </w:r>
            <w:r w:rsidR="00184757" w:rsidRPr="00047E9B">
              <w:rPr>
                <w:rFonts w:ascii="Verdana" w:hAnsi="Verdana"/>
              </w:rPr>
              <w:t>*</w:t>
            </w:r>
          </w:p>
        </w:tc>
        <w:tc>
          <w:tcPr>
            <w:tcW w:w="3117" w:type="dxa"/>
          </w:tcPr>
          <w:p w14:paraId="1EEFDDAC" w14:textId="3F6BC249" w:rsidR="00A03E55" w:rsidRPr="00047E9B" w:rsidRDefault="00A03E55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43.4</w:t>
            </w:r>
            <w:r w:rsidR="00F81B6C" w:rsidRPr="00047E9B">
              <w:rPr>
                <w:rFonts w:ascii="Verdana" w:hAnsi="Verdana"/>
              </w:rPr>
              <w:t xml:space="preserve"> percent</w:t>
            </w:r>
          </w:p>
        </w:tc>
        <w:tc>
          <w:tcPr>
            <w:tcW w:w="3117" w:type="dxa"/>
          </w:tcPr>
          <w:p w14:paraId="7317DE3B" w14:textId="62942372" w:rsidR="00A03E55" w:rsidRPr="00047E9B" w:rsidRDefault="00A03E55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34.3</w:t>
            </w:r>
            <w:r w:rsidR="00F81B6C" w:rsidRPr="00047E9B">
              <w:rPr>
                <w:rFonts w:ascii="Verdana" w:hAnsi="Verdana"/>
              </w:rPr>
              <w:t xml:space="preserve"> percent</w:t>
            </w:r>
          </w:p>
        </w:tc>
      </w:tr>
    </w:tbl>
    <w:p w14:paraId="782C9926" w14:textId="56533752" w:rsidR="00495073" w:rsidRPr="00047E9B" w:rsidRDefault="004A7D0B" w:rsidP="001C4531">
      <w:pPr>
        <w:spacing w:before="100" w:beforeAutospacing="1" w:after="100" w:afterAutospacing="1"/>
        <w:rPr>
          <w:rFonts w:ascii="Verdana" w:hAnsi="Verdana"/>
        </w:rPr>
      </w:pPr>
      <w:r w:rsidRPr="00047E9B">
        <w:rPr>
          <w:rFonts w:ascii="Verdana" w:hAnsi="Verdana"/>
        </w:rPr>
        <w:t>Source: General Social Survey 2023 (WGSS)</w:t>
      </w:r>
    </w:p>
    <w:p w14:paraId="68A5D19E" w14:textId="77777777" w:rsidR="00842650" w:rsidRPr="00047E9B" w:rsidRDefault="00842650">
      <w:pPr>
        <w:rPr>
          <w:rFonts w:ascii="Verdana" w:eastAsia="+mn-ea" w:hAnsi="Verdana" w:cs="+mn-cs"/>
          <w:b/>
          <w:bCs/>
          <w:kern w:val="24"/>
          <w:sz w:val="32"/>
          <w:szCs w:val="34"/>
          <w:lang w:val="en-NZ" w:eastAsia="en-NZ"/>
        </w:rPr>
      </w:pPr>
      <w:r w:rsidRPr="00047E9B">
        <w:rPr>
          <w:rFonts w:ascii="Verdana" w:eastAsia="+mn-ea" w:hAnsi="Verdana" w:cs="+mn-cs"/>
          <w:b/>
          <w:bCs/>
          <w:kern w:val="24"/>
          <w:sz w:val="32"/>
          <w:szCs w:val="34"/>
        </w:rPr>
        <w:br w:type="page"/>
      </w:r>
    </w:p>
    <w:p w14:paraId="56273348" w14:textId="42F914F5" w:rsidR="004971F8" w:rsidRPr="00047E9B" w:rsidRDefault="004971F8" w:rsidP="001C4531">
      <w:pPr>
        <w:pStyle w:val="NormalWeb"/>
        <w:rPr>
          <w:rFonts w:ascii="Verdana" w:hAnsi="Verdana"/>
          <w:b/>
          <w:bCs/>
        </w:rPr>
      </w:pPr>
      <w:r w:rsidRPr="00047E9B">
        <w:rPr>
          <w:rStyle w:val="Heading1Char"/>
          <w:rFonts w:ascii="Verdana" w:hAnsi="Verdana"/>
          <w:b/>
          <w:bCs/>
          <w:color w:val="auto"/>
          <w:sz w:val="32"/>
          <w:szCs w:val="32"/>
        </w:rPr>
        <w:lastRenderedPageBreak/>
        <w:t>Disabled people more worried about some crimes</w:t>
      </w:r>
      <w:r w:rsidR="00FC4079" w:rsidRPr="00047E9B">
        <w:rPr>
          <w:rFonts w:ascii="Verdana" w:hAnsi="Verdana"/>
          <w:b/>
          <w:bCs/>
        </w:rPr>
        <w:br/>
      </w:r>
      <w:r w:rsidR="27F91556" w:rsidRPr="00047E9B">
        <w:rPr>
          <w:rFonts w:ascii="Verdana" w:eastAsia="+mn-ea" w:hAnsi="Verdana" w:cs="+mn-cs"/>
          <w:kern w:val="24"/>
        </w:rPr>
        <w:t>Percent</w:t>
      </w:r>
      <w:r w:rsidRPr="00047E9B">
        <w:rPr>
          <w:rFonts w:ascii="Verdana" w:eastAsia="+mn-ea" w:hAnsi="Verdana" w:cs="+mn-cs"/>
          <w:kern w:val="24"/>
        </w:rPr>
        <w:t xml:space="preserve"> of people (ages 15-64) who were felt worried, by source of worry and disability status</w:t>
      </w:r>
      <w:r w:rsidR="00736FE9" w:rsidRPr="00047E9B">
        <w:rPr>
          <w:rFonts w:ascii="Verdana" w:eastAsia="+mn-ea" w:hAnsi="Verdana" w:cs="+mn-cs"/>
          <w:kern w:val="24"/>
        </w:rPr>
        <w:t xml:space="preserve"> (* denotes </w:t>
      </w:r>
      <w:r w:rsidR="2C46483E" w:rsidRPr="00047E9B">
        <w:rPr>
          <w:rFonts w:ascii="Verdana" w:eastAsia="+mn-ea" w:hAnsi="Verdana" w:cs="+mn-cs"/>
          <w:kern w:val="24"/>
        </w:rPr>
        <w:t xml:space="preserve">a statistically </w:t>
      </w:r>
      <w:r w:rsidR="00736FE9" w:rsidRPr="00047E9B">
        <w:rPr>
          <w:rFonts w:ascii="Verdana" w:eastAsia="+mn-ea" w:hAnsi="Verdana" w:cs="+mn-cs"/>
          <w:kern w:val="24"/>
        </w:rPr>
        <w:t xml:space="preserve">significant difference between disabled </w:t>
      </w:r>
      <w:r w:rsidR="584F06B6" w:rsidRPr="00047E9B">
        <w:rPr>
          <w:rFonts w:ascii="Verdana" w:eastAsia="+mn-ea" w:hAnsi="Verdana" w:cs="+mn-cs"/>
          <w:kern w:val="24"/>
        </w:rPr>
        <w:t xml:space="preserve">people </w:t>
      </w:r>
      <w:r w:rsidR="00736FE9" w:rsidRPr="00047E9B">
        <w:rPr>
          <w:rFonts w:ascii="Verdana" w:eastAsia="+mn-ea" w:hAnsi="Verdana" w:cs="+mn-cs"/>
          <w:kern w:val="24"/>
        </w:rPr>
        <w:t>and non-disabled</w:t>
      </w:r>
      <w:r w:rsidR="7400DBFF" w:rsidRPr="00047E9B">
        <w:rPr>
          <w:rFonts w:ascii="Verdana" w:eastAsia="+mn-ea" w:hAnsi="Verdana" w:cs="+mn-cs"/>
          <w:kern w:val="24"/>
        </w:rPr>
        <w:t xml:space="preserve"> people</w:t>
      </w:r>
      <w:r w:rsidR="00736FE9" w:rsidRPr="00047E9B">
        <w:rPr>
          <w:rFonts w:ascii="Verdana" w:eastAsia="+mn-ea" w:hAnsi="Verdana" w:cs="+mn-cs"/>
          <w:kern w:val="24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047E9B" w:rsidRPr="00047E9B" w14:paraId="43DC25DF" w14:textId="77777777" w:rsidTr="00736FE9">
        <w:tc>
          <w:tcPr>
            <w:tcW w:w="3116" w:type="dxa"/>
          </w:tcPr>
          <w:p w14:paraId="7F0F9E84" w14:textId="77777777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</w:p>
        </w:tc>
        <w:tc>
          <w:tcPr>
            <w:tcW w:w="3117" w:type="dxa"/>
          </w:tcPr>
          <w:p w14:paraId="154119B4" w14:textId="77777777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Non-disabled</w:t>
            </w:r>
          </w:p>
        </w:tc>
        <w:tc>
          <w:tcPr>
            <w:tcW w:w="3117" w:type="dxa"/>
          </w:tcPr>
          <w:p w14:paraId="7D83C9A8" w14:textId="77777777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Disabled</w:t>
            </w:r>
          </w:p>
        </w:tc>
      </w:tr>
      <w:tr w:rsidR="00047E9B" w:rsidRPr="00047E9B" w14:paraId="65C305F1" w14:textId="77777777" w:rsidTr="00736FE9">
        <w:tc>
          <w:tcPr>
            <w:tcW w:w="3116" w:type="dxa"/>
          </w:tcPr>
          <w:p w14:paraId="6FA5AEF4" w14:textId="77777777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Being assaulted by people you know</w:t>
            </w:r>
          </w:p>
        </w:tc>
        <w:tc>
          <w:tcPr>
            <w:tcW w:w="3117" w:type="dxa"/>
          </w:tcPr>
          <w:p w14:paraId="4235C9C4" w14:textId="0F65D51E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14.6</w:t>
            </w:r>
            <w:r w:rsidR="00F81B6C" w:rsidRPr="00047E9B">
              <w:rPr>
                <w:rFonts w:ascii="Verdana" w:hAnsi="Verdana"/>
              </w:rPr>
              <w:t xml:space="preserve"> percent</w:t>
            </w:r>
          </w:p>
        </w:tc>
        <w:tc>
          <w:tcPr>
            <w:tcW w:w="3117" w:type="dxa"/>
          </w:tcPr>
          <w:p w14:paraId="248A3940" w14:textId="57421AAE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19.6</w:t>
            </w:r>
            <w:r w:rsidR="00F81B6C" w:rsidRPr="00047E9B">
              <w:rPr>
                <w:rFonts w:ascii="Verdana" w:hAnsi="Verdana"/>
              </w:rPr>
              <w:t xml:space="preserve"> percent</w:t>
            </w:r>
          </w:p>
        </w:tc>
      </w:tr>
      <w:tr w:rsidR="00047E9B" w:rsidRPr="00047E9B" w14:paraId="13D0BF2E" w14:textId="77777777" w:rsidTr="00736FE9">
        <w:tc>
          <w:tcPr>
            <w:tcW w:w="3116" w:type="dxa"/>
          </w:tcPr>
          <w:p w14:paraId="05C7E983" w14:textId="570F4254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Being robbed or assaulted by strangers*</w:t>
            </w:r>
          </w:p>
        </w:tc>
        <w:tc>
          <w:tcPr>
            <w:tcW w:w="3117" w:type="dxa"/>
          </w:tcPr>
          <w:p w14:paraId="6155FCD6" w14:textId="09AFA557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37.8</w:t>
            </w:r>
            <w:r w:rsidR="00F81B6C" w:rsidRPr="00047E9B">
              <w:rPr>
                <w:rFonts w:ascii="Verdana" w:hAnsi="Verdana"/>
              </w:rPr>
              <w:t xml:space="preserve"> percent</w:t>
            </w:r>
          </w:p>
        </w:tc>
        <w:tc>
          <w:tcPr>
            <w:tcW w:w="3117" w:type="dxa"/>
          </w:tcPr>
          <w:p w14:paraId="3AD18B10" w14:textId="6E6501E1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47</w:t>
            </w:r>
            <w:r w:rsidR="18BFE18A" w:rsidRPr="00047E9B">
              <w:rPr>
                <w:rFonts w:ascii="Verdana" w:hAnsi="Verdana"/>
              </w:rPr>
              <w:t>.0</w:t>
            </w:r>
            <w:r w:rsidR="00F81B6C" w:rsidRPr="00047E9B">
              <w:rPr>
                <w:rFonts w:ascii="Verdana" w:hAnsi="Verdana"/>
              </w:rPr>
              <w:t xml:space="preserve"> percent</w:t>
            </w:r>
          </w:p>
        </w:tc>
      </w:tr>
      <w:tr w:rsidR="00047E9B" w:rsidRPr="00047E9B" w14:paraId="493B099F" w14:textId="77777777" w:rsidTr="00736FE9">
        <w:tc>
          <w:tcPr>
            <w:tcW w:w="3116" w:type="dxa"/>
          </w:tcPr>
          <w:p w14:paraId="4A42FD6F" w14:textId="77777777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Having your home broken into and something stolen</w:t>
            </w:r>
          </w:p>
        </w:tc>
        <w:tc>
          <w:tcPr>
            <w:tcW w:w="3117" w:type="dxa"/>
          </w:tcPr>
          <w:p w14:paraId="07016E3C" w14:textId="73A59921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49.4</w:t>
            </w:r>
            <w:r w:rsidR="00F81B6C" w:rsidRPr="00047E9B">
              <w:rPr>
                <w:rFonts w:ascii="Verdana" w:hAnsi="Verdana"/>
              </w:rPr>
              <w:t xml:space="preserve"> percent</w:t>
            </w:r>
          </w:p>
        </w:tc>
        <w:tc>
          <w:tcPr>
            <w:tcW w:w="3117" w:type="dxa"/>
          </w:tcPr>
          <w:p w14:paraId="5CEE9E48" w14:textId="642C7A00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54.3</w:t>
            </w:r>
            <w:r w:rsidR="00F81B6C" w:rsidRPr="00047E9B">
              <w:rPr>
                <w:rFonts w:ascii="Verdana" w:hAnsi="Verdana"/>
              </w:rPr>
              <w:t xml:space="preserve"> percent</w:t>
            </w:r>
          </w:p>
        </w:tc>
      </w:tr>
      <w:tr w:rsidR="00047E9B" w:rsidRPr="00047E9B" w14:paraId="30C8DC0A" w14:textId="77777777" w:rsidTr="00736FE9">
        <w:tc>
          <w:tcPr>
            <w:tcW w:w="3116" w:type="dxa"/>
          </w:tcPr>
          <w:p w14:paraId="78ECEDF4" w14:textId="77777777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Having your car stolen, deliberately damaged, or broken into</w:t>
            </w:r>
          </w:p>
        </w:tc>
        <w:tc>
          <w:tcPr>
            <w:tcW w:w="3117" w:type="dxa"/>
          </w:tcPr>
          <w:p w14:paraId="347197A3" w14:textId="3F3C53D8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51</w:t>
            </w:r>
            <w:r w:rsidR="408F41BE" w:rsidRPr="00047E9B">
              <w:rPr>
                <w:rFonts w:ascii="Verdana" w:hAnsi="Verdana"/>
              </w:rPr>
              <w:t>.0</w:t>
            </w:r>
            <w:r w:rsidR="00F81B6C" w:rsidRPr="00047E9B">
              <w:rPr>
                <w:rFonts w:ascii="Verdana" w:hAnsi="Verdana"/>
              </w:rPr>
              <w:t xml:space="preserve"> percent</w:t>
            </w:r>
          </w:p>
        </w:tc>
        <w:tc>
          <w:tcPr>
            <w:tcW w:w="3117" w:type="dxa"/>
          </w:tcPr>
          <w:p w14:paraId="04D31492" w14:textId="7E42786F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54.9</w:t>
            </w:r>
            <w:r w:rsidR="00F81B6C" w:rsidRPr="00047E9B">
              <w:rPr>
                <w:rFonts w:ascii="Verdana" w:hAnsi="Verdana"/>
              </w:rPr>
              <w:t xml:space="preserve"> percent</w:t>
            </w:r>
          </w:p>
        </w:tc>
      </w:tr>
      <w:tr w:rsidR="00047E9B" w:rsidRPr="00047E9B" w14:paraId="2D71B8CF" w14:textId="77777777" w:rsidTr="00736FE9">
        <w:tc>
          <w:tcPr>
            <w:tcW w:w="3116" w:type="dxa"/>
          </w:tcPr>
          <w:p w14:paraId="24AE2B8C" w14:textId="77777777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Someone getting your credit card details and misusing them</w:t>
            </w:r>
          </w:p>
        </w:tc>
        <w:tc>
          <w:tcPr>
            <w:tcW w:w="3117" w:type="dxa"/>
          </w:tcPr>
          <w:p w14:paraId="48C97160" w14:textId="12E89493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54.6</w:t>
            </w:r>
            <w:r w:rsidR="00F81B6C" w:rsidRPr="00047E9B">
              <w:rPr>
                <w:rFonts w:ascii="Verdana" w:hAnsi="Verdana"/>
              </w:rPr>
              <w:t xml:space="preserve"> percent</w:t>
            </w:r>
          </w:p>
        </w:tc>
        <w:tc>
          <w:tcPr>
            <w:tcW w:w="3117" w:type="dxa"/>
          </w:tcPr>
          <w:p w14:paraId="730F4FB5" w14:textId="6B906603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57.7</w:t>
            </w:r>
            <w:r w:rsidR="00F81B6C" w:rsidRPr="00047E9B">
              <w:rPr>
                <w:rFonts w:ascii="Verdana" w:hAnsi="Verdana"/>
              </w:rPr>
              <w:t xml:space="preserve"> percent</w:t>
            </w:r>
          </w:p>
        </w:tc>
      </w:tr>
      <w:tr w:rsidR="00047E9B" w:rsidRPr="00047E9B" w14:paraId="549AE015" w14:textId="77777777" w:rsidTr="00736FE9">
        <w:tc>
          <w:tcPr>
            <w:tcW w:w="3116" w:type="dxa"/>
          </w:tcPr>
          <w:p w14:paraId="7ECB9FF5" w14:textId="7F7064E2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Being in a traffic accident caused by a drunk driver*</w:t>
            </w:r>
          </w:p>
        </w:tc>
        <w:tc>
          <w:tcPr>
            <w:tcW w:w="3117" w:type="dxa"/>
          </w:tcPr>
          <w:p w14:paraId="64C47423" w14:textId="73C9228A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48.3</w:t>
            </w:r>
            <w:r w:rsidR="00F81B6C" w:rsidRPr="00047E9B">
              <w:rPr>
                <w:rFonts w:ascii="Verdana" w:hAnsi="Verdana"/>
              </w:rPr>
              <w:t xml:space="preserve"> percent</w:t>
            </w:r>
          </w:p>
        </w:tc>
        <w:tc>
          <w:tcPr>
            <w:tcW w:w="3117" w:type="dxa"/>
          </w:tcPr>
          <w:p w14:paraId="5FA83F8D" w14:textId="02669DD9" w:rsidR="00736FE9" w:rsidRPr="00047E9B" w:rsidRDefault="00736FE9" w:rsidP="001C4531">
            <w:pPr>
              <w:spacing w:before="100" w:beforeAutospacing="1" w:after="100" w:afterAutospacing="1"/>
              <w:rPr>
                <w:rFonts w:ascii="Verdana" w:hAnsi="Verdana"/>
              </w:rPr>
            </w:pPr>
            <w:r w:rsidRPr="00047E9B">
              <w:rPr>
                <w:rFonts w:ascii="Verdana" w:hAnsi="Verdana"/>
              </w:rPr>
              <w:t>59.9</w:t>
            </w:r>
            <w:r w:rsidR="00F81B6C" w:rsidRPr="00047E9B">
              <w:rPr>
                <w:rFonts w:ascii="Verdana" w:hAnsi="Verdana"/>
              </w:rPr>
              <w:t xml:space="preserve"> percent</w:t>
            </w:r>
          </w:p>
        </w:tc>
      </w:tr>
    </w:tbl>
    <w:p w14:paraId="21FB78C3" w14:textId="055E2FE7" w:rsidR="00736FE9" w:rsidRPr="00047E9B" w:rsidRDefault="004A7D0B" w:rsidP="001C4531">
      <w:pPr>
        <w:spacing w:before="100" w:beforeAutospacing="1" w:after="100" w:afterAutospacing="1"/>
        <w:rPr>
          <w:rFonts w:ascii="Verdana" w:hAnsi="Verdana"/>
        </w:rPr>
      </w:pPr>
      <w:r w:rsidRPr="00047E9B">
        <w:rPr>
          <w:rFonts w:ascii="Verdana" w:hAnsi="Verdana"/>
        </w:rPr>
        <w:t>Source: General Social Survey 2023 (WGSS)</w:t>
      </w:r>
    </w:p>
    <w:p w14:paraId="6D80592B" w14:textId="77777777" w:rsidR="00842650" w:rsidRPr="00047E9B" w:rsidRDefault="00842650">
      <w:pPr>
        <w:rPr>
          <w:rFonts w:ascii="Verdana" w:eastAsia="+mn-ea" w:hAnsi="Verdana" w:cs="+mn-cs"/>
          <w:b/>
          <w:bCs/>
          <w:kern w:val="24"/>
          <w:sz w:val="32"/>
          <w:szCs w:val="34"/>
          <w:lang w:val="en-NZ" w:eastAsia="en-NZ"/>
        </w:rPr>
      </w:pPr>
      <w:r w:rsidRPr="00047E9B">
        <w:rPr>
          <w:rFonts w:ascii="Verdana" w:eastAsia="+mn-ea" w:hAnsi="Verdana" w:cs="+mn-cs"/>
          <w:b/>
          <w:bCs/>
          <w:kern w:val="24"/>
          <w:sz w:val="32"/>
          <w:szCs w:val="34"/>
        </w:rPr>
        <w:br w:type="page"/>
      </w:r>
    </w:p>
    <w:p w14:paraId="25E885DA" w14:textId="3C6799B4" w:rsidR="0055323F" w:rsidRPr="00047E9B" w:rsidRDefault="0055323F" w:rsidP="001C4531">
      <w:pPr>
        <w:pStyle w:val="NormalWeb"/>
        <w:rPr>
          <w:rFonts w:ascii="Verdana" w:hAnsi="Verdana"/>
        </w:rPr>
      </w:pPr>
      <w:r w:rsidRPr="00047E9B">
        <w:rPr>
          <w:rStyle w:val="Heading1Char"/>
          <w:rFonts w:ascii="Verdana" w:hAnsi="Verdana"/>
          <w:b/>
          <w:bCs/>
          <w:color w:val="auto"/>
          <w:sz w:val="32"/>
          <w:szCs w:val="32"/>
        </w:rPr>
        <w:lastRenderedPageBreak/>
        <w:t>Fear of crime effect on life</w:t>
      </w:r>
      <w:r w:rsidR="001C4531" w:rsidRPr="00047E9B">
        <w:rPr>
          <w:rFonts w:ascii="Verdana" w:hAnsi="Verdana"/>
        </w:rPr>
        <w:br/>
      </w:r>
      <w:r w:rsidR="27F91556" w:rsidRPr="00047E9B">
        <w:rPr>
          <w:rFonts w:ascii="Verdana" w:eastAsia="+mn-ea" w:hAnsi="Verdana" w:cs="+mn-cs"/>
          <w:kern w:val="24"/>
        </w:rPr>
        <w:t>Percent</w:t>
      </w:r>
      <w:r w:rsidRPr="00047E9B">
        <w:rPr>
          <w:rFonts w:ascii="Verdana" w:eastAsia="+mn-ea" w:hAnsi="Verdana" w:cs="+mn-cs"/>
          <w:kern w:val="24"/>
        </w:rPr>
        <w:t xml:space="preserve"> of people (ages 15-64), by level of fear of crime effect on life (0-10 scale) and group</w:t>
      </w:r>
    </w:p>
    <w:p w14:paraId="75848593" w14:textId="77777777" w:rsidR="00F81B6C" w:rsidRPr="00047E9B" w:rsidRDefault="00156383" w:rsidP="001C4531">
      <w:pPr>
        <w:spacing w:before="100" w:beforeAutospacing="1" w:after="100" w:afterAutospacing="1"/>
        <w:rPr>
          <w:rFonts w:ascii="Verdana" w:hAnsi="Verdana"/>
        </w:rPr>
      </w:pPr>
      <w:r w:rsidRPr="00047E9B">
        <w:rPr>
          <w:rFonts w:ascii="Verdana" w:hAnsi="Verdana"/>
        </w:rPr>
        <w:t xml:space="preserve">Tāngata </w:t>
      </w:r>
      <w:r w:rsidR="5A88793E" w:rsidRPr="00047E9B">
        <w:rPr>
          <w:rFonts w:ascii="Verdana" w:hAnsi="Verdana"/>
        </w:rPr>
        <w:t>w</w:t>
      </w:r>
      <w:r w:rsidRPr="00047E9B">
        <w:rPr>
          <w:rFonts w:ascii="Verdana" w:hAnsi="Verdana"/>
        </w:rPr>
        <w:t xml:space="preserve">haikaha Māori: </w:t>
      </w:r>
    </w:p>
    <w:p w14:paraId="4C1D85C6" w14:textId="77777777" w:rsidR="00F81B6C" w:rsidRPr="00047E9B" w:rsidRDefault="00156383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Low effect (0-4)</w:t>
      </w:r>
      <w:r w:rsidR="00F81B6C" w:rsidRPr="00047E9B">
        <w:rPr>
          <w:rFonts w:ascii="Verdana" w:hAnsi="Verdana"/>
        </w:rPr>
        <w:t>:</w:t>
      </w:r>
      <w:r w:rsidRPr="00047E9B">
        <w:rPr>
          <w:rFonts w:ascii="Verdana" w:hAnsi="Verdana"/>
        </w:rPr>
        <w:t xml:space="preserve"> </w:t>
      </w:r>
      <w:r w:rsidR="004F7CD8" w:rsidRPr="00047E9B">
        <w:rPr>
          <w:rFonts w:ascii="Verdana" w:hAnsi="Verdana"/>
        </w:rPr>
        <w:t>57</w:t>
      </w:r>
      <w:r w:rsidR="27F91556" w:rsidRPr="00047E9B">
        <w:rPr>
          <w:rFonts w:ascii="Verdana" w:hAnsi="Verdana"/>
        </w:rPr>
        <w:t xml:space="preserve"> percent</w:t>
      </w:r>
    </w:p>
    <w:p w14:paraId="53377E29" w14:textId="77777777" w:rsidR="00F81B6C" w:rsidRPr="00047E9B" w:rsidRDefault="004F7CD8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Medium effect (5-6)</w:t>
      </w:r>
      <w:r w:rsidR="00F81B6C" w:rsidRPr="00047E9B">
        <w:rPr>
          <w:rFonts w:ascii="Verdana" w:hAnsi="Verdana"/>
        </w:rPr>
        <w:t>:</w:t>
      </w:r>
      <w:r w:rsidRPr="00047E9B">
        <w:rPr>
          <w:rFonts w:ascii="Verdana" w:hAnsi="Verdana"/>
        </w:rPr>
        <w:t xml:space="preserve"> 18</w:t>
      </w:r>
      <w:r w:rsidR="27F91556" w:rsidRPr="00047E9B">
        <w:rPr>
          <w:rFonts w:ascii="Verdana" w:hAnsi="Verdana"/>
        </w:rPr>
        <w:t xml:space="preserve"> percent</w:t>
      </w:r>
    </w:p>
    <w:p w14:paraId="567E1E41" w14:textId="14D3C108" w:rsidR="0055323F" w:rsidRPr="00047E9B" w:rsidRDefault="004F7CD8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High effect (</w:t>
      </w:r>
      <w:r w:rsidR="001D6DAA" w:rsidRPr="00047E9B">
        <w:rPr>
          <w:rFonts w:ascii="Verdana" w:hAnsi="Verdana"/>
        </w:rPr>
        <w:t>7-10</w:t>
      </w:r>
      <w:r w:rsidR="005412A5" w:rsidRPr="00047E9B">
        <w:rPr>
          <w:rFonts w:ascii="Verdana" w:hAnsi="Verdana"/>
        </w:rPr>
        <w:t>)</w:t>
      </w:r>
      <w:r w:rsidR="00F81B6C" w:rsidRPr="00047E9B">
        <w:rPr>
          <w:rFonts w:ascii="Verdana" w:hAnsi="Verdana"/>
        </w:rPr>
        <w:t>:</w:t>
      </w:r>
      <w:r w:rsidR="005412A5" w:rsidRPr="00047E9B">
        <w:rPr>
          <w:rFonts w:ascii="Verdana" w:hAnsi="Verdana"/>
        </w:rPr>
        <w:t xml:space="preserve"> 26</w:t>
      </w:r>
      <w:r w:rsidR="27F91556" w:rsidRPr="00047E9B">
        <w:rPr>
          <w:rFonts w:ascii="Verdana" w:hAnsi="Verdana"/>
        </w:rPr>
        <w:t xml:space="preserve"> percent</w:t>
      </w:r>
    </w:p>
    <w:p w14:paraId="7EA6FA8E" w14:textId="77777777" w:rsidR="00F81B6C" w:rsidRPr="00047E9B" w:rsidRDefault="005412A5" w:rsidP="001C4531">
      <w:pPr>
        <w:spacing w:before="100" w:beforeAutospacing="1" w:after="100" w:afterAutospacing="1"/>
        <w:rPr>
          <w:rFonts w:ascii="Verdana" w:hAnsi="Verdana"/>
        </w:rPr>
      </w:pPr>
      <w:r w:rsidRPr="00047E9B">
        <w:rPr>
          <w:rFonts w:ascii="Verdana" w:hAnsi="Verdana"/>
        </w:rPr>
        <w:t xml:space="preserve">Disabled: </w:t>
      </w:r>
    </w:p>
    <w:p w14:paraId="7A5A7E89" w14:textId="77777777" w:rsidR="00F81B6C" w:rsidRPr="00047E9B" w:rsidRDefault="005412A5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Low effect (0-4)</w:t>
      </w:r>
      <w:r w:rsidR="00F81B6C" w:rsidRPr="00047E9B">
        <w:rPr>
          <w:rFonts w:ascii="Verdana" w:hAnsi="Verdana"/>
        </w:rPr>
        <w:t xml:space="preserve">: </w:t>
      </w:r>
      <w:r w:rsidRPr="00047E9B">
        <w:rPr>
          <w:rFonts w:ascii="Verdana" w:hAnsi="Verdana"/>
        </w:rPr>
        <w:t>55</w:t>
      </w:r>
      <w:r w:rsidR="27F91556" w:rsidRPr="00047E9B">
        <w:rPr>
          <w:rFonts w:ascii="Verdana" w:hAnsi="Verdana"/>
        </w:rPr>
        <w:t xml:space="preserve"> percent</w:t>
      </w:r>
    </w:p>
    <w:p w14:paraId="61E96931" w14:textId="77777777" w:rsidR="00F81B6C" w:rsidRPr="00047E9B" w:rsidRDefault="005412A5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Medium effect (5-6)</w:t>
      </w:r>
      <w:r w:rsidR="00F81B6C" w:rsidRPr="00047E9B">
        <w:rPr>
          <w:rFonts w:ascii="Verdana" w:hAnsi="Verdana"/>
        </w:rPr>
        <w:t xml:space="preserve">: </w:t>
      </w:r>
      <w:r w:rsidRPr="00047E9B">
        <w:rPr>
          <w:rFonts w:ascii="Verdana" w:hAnsi="Verdana"/>
        </w:rPr>
        <w:t>18</w:t>
      </w:r>
      <w:r w:rsidR="27F91556" w:rsidRPr="00047E9B">
        <w:rPr>
          <w:rFonts w:ascii="Verdana" w:hAnsi="Verdana"/>
        </w:rPr>
        <w:t xml:space="preserve"> percent</w:t>
      </w:r>
    </w:p>
    <w:p w14:paraId="2C27AEDB" w14:textId="7C444F55" w:rsidR="005412A5" w:rsidRPr="00047E9B" w:rsidRDefault="005412A5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High effect (7-10)</w:t>
      </w:r>
      <w:r w:rsidR="00F81B6C" w:rsidRPr="00047E9B">
        <w:rPr>
          <w:rFonts w:ascii="Verdana" w:hAnsi="Verdana"/>
        </w:rPr>
        <w:t>:</w:t>
      </w:r>
      <w:r w:rsidRPr="00047E9B">
        <w:rPr>
          <w:rFonts w:ascii="Verdana" w:hAnsi="Verdana"/>
        </w:rPr>
        <w:t xml:space="preserve"> </w:t>
      </w:r>
      <w:r w:rsidR="00AB7AC8" w:rsidRPr="00047E9B">
        <w:rPr>
          <w:rFonts w:ascii="Verdana" w:hAnsi="Verdana"/>
        </w:rPr>
        <w:t>27</w:t>
      </w:r>
      <w:r w:rsidR="27F91556" w:rsidRPr="00047E9B">
        <w:rPr>
          <w:rFonts w:ascii="Verdana" w:hAnsi="Verdana"/>
        </w:rPr>
        <w:t xml:space="preserve"> percent</w:t>
      </w:r>
    </w:p>
    <w:p w14:paraId="333C4C1B" w14:textId="77777777" w:rsidR="00F81B6C" w:rsidRPr="00047E9B" w:rsidRDefault="00CD3BEA" w:rsidP="001C4531">
      <w:pPr>
        <w:spacing w:before="100" w:beforeAutospacing="1" w:after="100" w:afterAutospacing="1"/>
        <w:rPr>
          <w:rFonts w:ascii="Verdana" w:hAnsi="Verdana"/>
        </w:rPr>
      </w:pPr>
      <w:r w:rsidRPr="00047E9B">
        <w:rPr>
          <w:rFonts w:ascii="Verdana" w:hAnsi="Verdana"/>
        </w:rPr>
        <w:t>Non-disabled</w:t>
      </w:r>
      <w:r w:rsidR="005412A5" w:rsidRPr="00047E9B">
        <w:rPr>
          <w:rFonts w:ascii="Verdana" w:hAnsi="Verdana"/>
        </w:rPr>
        <w:t xml:space="preserve">: </w:t>
      </w:r>
    </w:p>
    <w:p w14:paraId="562295B6" w14:textId="77777777" w:rsidR="00F81B6C" w:rsidRPr="00047E9B" w:rsidRDefault="005412A5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Low effect (0-4)</w:t>
      </w:r>
      <w:r w:rsidR="00F81B6C" w:rsidRPr="00047E9B">
        <w:rPr>
          <w:rFonts w:ascii="Verdana" w:hAnsi="Verdana"/>
        </w:rPr>
        <w:t xml:space="preserve">: </w:t>
      </w:r>
      <w:r w:rsidRPr="00047E9B">
        <w:rPr>
          <w:rFonts w:ascii="Verdana" w:hAnsi="Verdana"/>
        </w:rPr>
        <w:t>5</w:t>
      </w:r>
      <w:r w:rsidR="00CD3BEA" w:rsidRPr="00047E9B">
        <w:rPr>
          <w:rFonts w:ascii="Verdana" w:hAnsi="Verdana"/>
        </w:rPr>
        <w:t>8</w:t>
      </w:r>
      <w:r w:rsidR="27F91556" w:rsidRPr="00047E9B">
        <w:rPr>
          <w:rFonts w:ascii="Verdana" w:hAnsi="Verdana"/>
        </w:rPr>
        <w:t xml:space="preserve"> percent</w:t>
      </w:r>
    </w:p>
    <w:p w14:paraId="11CAF70F" w14:textId="77777777" w:rsidR="00F81B6C" w:rsidRPr="00047E9B" w:rsidRDefault="005412A5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Medium effect (5-6)</w:t>
      </w:r>
      <w:r w:rsidR="00F81B6C" w:rsidRPr="00047E9B">
        <w:rPr>
          <w:rFonts w:ascii="Verdana" w:hAnsi="Verdana"/>
        </w:rPr>
        <w:t xml:space="preserve">: </w:t>
      </w:r>
      <w:r w:rsidRPr="00047E9B">
        <w:rPr>
          <w:rFonts w:ascii="Verdana" w:hAnsi="Verdana"/>
        </w:rPr>
        <w:t>1</w:t>
      </w:r>
      <w:r w:rsidR="00CD3BEA" w:rsidRPr="00047E9B">
        <w:rPr>
          <w:rFonts w:ascii="Verdana" w:hAnsi="Verdana"/>
        </w:rPr>
        <w:t>9</w:t>
      </w:r>
      <w:r w:rsidR="27F91556" w:rsidRPr="00047E9B">
        <w:rPr>
          <w:rFonts w:ascii="Verdana" w:hAnsi="Verdana"/>
        </w:rPr>
        <w:t xml:space="preserve"> percent</w:t>
      </w:r>
    </w:p>
    <w:p w14:paraId="07B35A43" w14:textId="7C9D9A39" w:rsidR="005412A5" w:rsidRPr="00047E9B" w:rsidRDefault="005412A5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High effect (7-10)</w:t>
      </w:r>
      <w:r w:rsidR="00F81B6C" w:rsidRPr="00047E9B">
        <w:rPr>
          <w:rFonts w:ascii="Verdana" w:hAnsi="Verdana"/>
        </w:rPr>
        <w:t xml:space="preserve">: </w:t>
      </w:r>
      <w:r w:rsidR="00CD3BEA" w:rsidRPr="00047E9B">
        <w:rPr>
          <w:rFonts w:ascii="Verdana" w:hAnsi="Verdana"/>
        </w:rPr>
        <w:t>23</w:t>
      </w:r>
      <w:r w:rsidR="27F91556" w:rsidRPr="00047E9B">
        <w:rPr>
          <w:rFonts w:ascii="Verdana" w:hAnsi="Verdana"/>
        </w:rPr>
        <w:t xml:space="preserve"> percent</w:t>
      </w:r>
    </w:p>
    <w:p w14:paraId="693F5388" w14:textId="3176F612" w:rsidR="00CD3BEA" w:rsidRPr="00047E9B" w:rsidRDefault="004A7D0B" w:rsidP="001C4531">
      <w:pPr>
        <w:spacing w:before="100" w:beforeAutospacing="1" w:after="100" w:afterAutospacing="1"/>
        <w:rPr>
          <w:rFonts w:ascii="Verdana" w:hAnsi="Verdana"/>
        </w:rPr>
      </w:pPr>
      <w:r w:rsidRPr="00047E9B">
        <w:rPr>
          <w:rFonts w:ascii="Verdana" w:hAnsi="Verdana"/>
        </w:rPr>
        <w:t>Source: General Social Survey 2023 (WGSS)</w:t>
      </w:r>
    </w:p>
    <w:p w14:paraId="1B18CB11" w14:textId="7A8E2D6A" w:rsidR="00D77014" w:rsidRPr="00047E9B" w:rsidRDefault="00D77014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The data shows that disabled people feel less safe than non-disabled people and are more likely to be worried about some crimes.</w:t>
      </w:r>
    </w:p>
    <w:p w14:paraId="59339D55" w14:textId="21330B18" w:rsidR="005412A5" w:rsidRPr="00047E9B" w:rsidRDefault="00D77014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 xml:space="preserve">However, there is no statistically significant difference between disabled people and non-disabled people for the effect that fear of crime has on </w:t>
      </w:r>
      <w:proofErr w:type="gramStart"/>
      <w:r w:rsidRPr="00047E9B">
        <w:rPr>
          <w:rFonts w:ascii="Verdana" w:hAnsi="Verdana"/>
        </w:rPr>
        <w:t>life</w:t>
      </w:r>
      <w:proofErr w:type="gramEnd"/>
    </w:p>
    <w:p w14:paraId="482ED5CC" w14:textId="77777777" w:rsidR="00D37496" w:rsidRPr="00047E9B" w:rsidRDefault="00D37496">
      <w:pPr>
        <w:rPr>
          <w:rFonts w:ascii="Verdana" w:eastAsia="+mn-ea" w:hAnsi="Verdana" w:cs="+mn-cs"/>
          <w:b/>
          <w:bCs/>
          <w:kern w:val="24"/>
          <w:sz w:val="32"/>
          <w:szCs w:val="34"/>
          <w:lang w:val="en-NZ" w:eastAsia="en-NZ"/>
        </w:rPr>
      </w:pPr>
      <w:r w:rsidRPr="00047E9B">
        <w:rPr>
          <w:rFonts w:ascii="Verdana" w:eastAsia="+mn-ea" w:hAnsi="Verdana" w:cs="+mn-cs"/>
          <w:b/>
          <w:bCs/>
          <w:kern w:val="24"/>
          <w:sz w:val="32"/>
          <w:szCs w:val="34"/>
        </w:rPr>
        <w:br w:type="page"/>
      </w:r>
    </w:p>
    <w:p w14:paraId="72ED9064" w14:textId="7777C0DD" w:rsidR="005412A5" w:rsidRPr="00047E9B" w:rsidRDefault="004E5083" w:rsidP="00B54A50">
      <w:pPr>
        <w:pStyle w:val="NormalWeb"/>
        <w:rPr>
          <w:rFonts w:ascii="Verdana" w:hAnsi="Verdana"/>
        </w:rPr>
      </w:pPr>
      <w:r w:rsidRPr="00047E9B">
        <w:rPr>
          <w:rStyle w:val="Heading1Char"/>
          <w:rFonts w:ascii="Verdana" w:hAnsi="Verdana"/>
          <w:b/>
          <w:bCs/>
          <w:color w:val="auto"/>
          <w:sz w:val="32"/>
          <w:szCs w:val="32"/>
        </w:rPr>
        <w:lastRenderedPageBreak/>
        <w:t>Disabled people have less trust for courts</w:t>
      </w:r>
      <w:r w:rsidR="00B54A50" w:rsidRPr="00047E9B">
        <w:rPr>
          <w:rFonts w:ascii="Verdana" w:hAnsi="Verdana"/>
        </w:rPr>
        <w:br/>
      </w:r>
      <w:r w:rsidR="27F91556" w:rsidRPr="00047E9B">
        <w:rPr>
          <w:rFonts w:ascii="Verdana" w:eastAsia="+mn-ea" w:hAnsi="Verdana" w:cs="+mn-cs"/>
          <w:kern w:val="24"/>
        </w:rPr>
        <w:t>Percent</w:t>
      </w:r>
      <w:r w:rsidRPr="00047E9B">
        <w:rPr>
          <w:rFonts w:ascii="Verdana" w:eastAsia="+mn-ea" w:hAnsi="Verdana" w:cs="+mn-cs"/>
          <w:kern w:val="24"/>
        </w:rPr>
        <w:t xml:space="preserve"> of people (ages 15-64), by level of trust in courts (0-10 scale) and </w:t>
      </w:r>
      <w:proofErr w:type="gramStart"/>
      <w:r w:rsidRPr="00047E9B">
        <w:rPr>
          <w:rFonts w:ascii="Verdana" w:eastAsia="+mn-ea" w:hAnsi="Verdana" w:cs="+mn-cs"/>
          <w:kern w:val="24"/>
        </w:rPr>
        <w:t>group</w:t>
      </w:r>
      <w:proofErr w:type="gramEnd"/>
    </w:p>
    <w:p w14:paraId="290A3652" w14:textId="77777777" w:rsidR="00942EF1" w:rsidRPr="00047E9B" w:rsidRDefault="004E5083" w:rsidP="001C4531">
      <w:pPr>
        <w:spacing w:before="100" w:beforeAutospacing="1" w:after="100" w:afterAutospacing="1"/>
        <w:rPr>
          <w:rFonts w:ascii="Verdana" w:hAnsi="Verdana"/>
        </w:rPr>
      </w:pPr>
      <w:r w:rsidRPr="00047E9B">
        <w:rPr>
          <w:rFonts w:ascii="Verdana" w:hAnsi="Verdana"/>
        </w:rPr>
        <w:t xml:space="preserve">Tāngata </w:t>
      </w:r>
      <w:r w:rsidR="3C1D484B" w:rsidRPr="00047E9B">
        <w:rPr>
          <w:rFonts w:ascii="Verdana" w:hAnsi="Verdana"/>
        </w:rPr>
        <w:t>w</w:t>
      </w:r>
      <w:r w:rsidRPr="00047E9B">
        <w:rPr>
          <w:rFonts w:ascii="Verdana" w:hAnsi="Verdana"/>
        </w:rPr>
        <w:t>haikaha Māori</w:t>
      </w:r>
    </w:p>
    <w:p w14:paraId="387541B0" w14:textId="77777777" w:rsidR="00942EF1" w:rsidRPr="00047E9B" w:rsidRDefault="004E5083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Low trust (0-4)</w:t>
      </w:r>
      <w:r w:rsidR="00942EF1" w:rsidRPr="00047E9B">
        <w:rPr>
          <w:rFonts w:ascii="Verdana" w:hAnsi="Verdana"/>
        </w:rPr>
        <w:t xml:space="preserve">: </w:t>
      </w:r>
      <w:r w:rsidRPr="00047E9B">
        <w:rPr>
          <w:rFonts w:ascii="Verdana" w:hAnsi="Verdana"/>
        </w:rPr>
        <w:t>37</w:t>
      </w:r>
      <w:r w:rsidR="27F91556" w:rsidRPr="00047E9B">
        <w:rPr>
          <w:rFonts w:ascii="Verdana" w:hAnsi="Verdana"/>
        </w:rPr>
        <w:t xml:space="preserve"> percent</w:t>
      </w:r>
    </w:p>
    <w:p w14:paraId="089481A7" w14:textId="77777777" w:rsidR="00942EF1" w:rsidRPr="00047E9B" w:rsidRDefault="004E5083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Medium trust (5-6)</w:t>
      </w:r>
      <w:r w:rsidR="00942EF1" w:rsidRPr="00047E9B">
        <w:rPr>
          <w:rFonts w:ascii="Verdana" w:hAnsi="Verdana"/>
        </w:rPr>
        <w:t xml:space="preserve">: </w:t>
      </w:r>
      <w:r w:rsidRPr="00047E9B">
        <w:rPr>
          <w:rFonts w:ascii="Verdana" w:hAnsi="Verdana"/>
        </w:rPr>
        <w:t>38</w:t>
      </w:r>
      <w:r w:rsidR="27F91556" w:rsidRPr="00047E9B">
        <w:rPr>
          <w:rFonts w:ascii="Verdana" w:hAnsi="Verdana"/>
        </w:rPr>
        <w:t xml:space="preserve"> percent</w:t>
      </w:r>
    </w:p>
    <w:p w14:paraId="43F2A798" w14:textId="5EEE36EF" w:rsidR="004E5083" w:rsidRPr="00047E9B" w:rsidRDefault="004E5083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High trust (7-10)</w:t>
      </w:r>
      <w:r w:rsidR="00942EF1" w:rsidRPr="00047E9B">
        <w:rPr>
          <w:rFonts w:ascii="Verdana" w:hAnsi="Verdana"/>
        </w:rPr>
        <w:t xml:space="preserve">: </w:t>
      </w:r>
      <w:r w:rsidRPr="00047E9B">
        <w:rPr>
          <w:rFonts w:ascii="Verdana" w:hAnsi="Verdana"/>
        </w:rPr>
        <w:t>25</w:t>
      </w:r>
      <w:r w:rsidR="27F91556" w:rsidRPr="00047E9B">
        <w:rPr>
          <w:rFonts w:ascii="Verdana" w:hAnsi="Verdana"/>
        </w:rPr>
        <w:t xml:space="preserve"> percent</w:t>
      </w:r>
    </w:p>
    <w:p w14:paraId="69352E0D" w14:textId="77777777" w:rsidR="00942EF1" w:rsidRPr="00047E9B" w:rsidRDefault="004E5083" w:rsidP="001C4531">
      <w:pPr>
        <w:spacing w:before="100" w:beforeAutospacing="1" w:after="100" w:afterAutospacing="1"/>
        <w:rPr>
          <w:rFonts w:ascii="Verdana" w:hAnsi="Verdana"/>
        </w:rPr>
      </w:pPr>
      <w:r w:rsidRPr="00047E9B">
        <w:rPr>
          <w:rFonts w:ascii="Verdana" w:hAnsi="Verdana"/>
        </w:rPr>
        <w:t xml:space="preserve">Disabled: </w:t>
      </w:r>
    </w:p>
    <w:p w14:paraId="405D8950" w14:textId="77777777" w:rsidR="00942EF1" w:rsidRPr="00047E9B" w:rsidRDefault="004E5083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Low trust (0-4)</w:t>
      </w:r>
      <w:r w:rsidR="00942EF1" w:rsidRPr="00047E9B">
        <w:rPr>
          <w:rFonts w:ascii="Verdana" w:hAnsi="Verdana"/>
        </w:rPr>
        <w:t xml:space="preserve">: </w:t>
      </w:r>
      <w:r w:rsidRPr="00047E9B">
        <w:rPr>
          <w:rFonts w:ascii="Verdana" w:hAnsi="Verdana"/>
        </w:rPr>
        <w:t>33</w:t>
      </w:r>
      <w:r w:rsidR="27F91556" w:rsidRPr="00047E9B">
        <w:rPr>
          <w:rFonts w:ascii="Verdana" w:hAnsi="Verdana"/>
        </w:rPr>
        <w:t xml:space="preserve"> percent</w:t>
      </w:r>
    </w:p>
    <w:p w14:paraId="1AFAB659" w14:textId="77777777" w:rsidR="00942EF1" w:rsidRPr="00047E9B" w:rsidRDefault="004E5083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Medium trust (5-6)</w:t>
      </w:r>
      <w:r w:rsidR="00942EF1" w:rsidRPr="00047E9B">
        <w:rPr>
          <w:rFonts w:ascii="Verdana" w:hAnsi="Verdana"/>
        </w:rPr>
        <w:t>:</w:t>
      </w:r>
      <w:r w:rsidRPr="00047E9B">
        <w:rPr>
          <w:rFonts w:ascii="Verdana" w:hAnsi="Verdana"/>
        </w:rPr>
        <w:t xml:space="preserve"> 28</w:t>
      </w:r>
      <w:r w:rsidR="27F91556" w:rsidRPr="00047E9B">
        <w:rPr>
          <w:rFonts w:ascii="Verdana" w:hAnsi="Verdana"/>
        </w:rPr>
        <w:t xml:space="preserve"> percent</w:t>
      </w:r>
    </w:p>
    <w:p w14:paraId="7B25C819" w14:textId="65CB983A" w:rsidR="004E5083" w:rsidRPr="00047E9B" w:rsidRDefault="004E5083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High trust (7-10)</w:t>
      </w:r>
      <w:r w:rsidR="00942EF1" w:rsidRPr="00047E9B">
        <w:rPr>
          <w:rFonts w:ascii="Verdana" w:hAnsi="Verdana"/>
        </w:rPr>
        <w:t>:</w:t>
      </w:r>
      <w:r w:rsidRPr="00047E9B">
        <w:rPr>
          <w:rFonts w:ascii="Verdana" w:hAnsi="Verdana"/>
        </w:rPr>
        <w:t xml:space="preserve"> 39</w:t>
      </w:r>
      <w:r w:rsidR="27F91556" w:rsidRPr="00047E9B">
        <w:rPr>
          <w:rFonts w:ascii="Verdana" w:hAnsi="Verdana"/>
        </w:rPr>
        <w:t xml:space="preserve"> percent</w:t>
      </w:r>
    </w:p>
    <w:p w14:paraId="1F9F2A34" w14:textId="77777777" w:rsidR="00942EF1" w:rsidRPr="00047E9B" w:rsidRDefault="004E5083" w:rsidP="001C4531">
      <w:pPr>
        <w:spacing w:before="100" w:beforeAutospacing="1" w:after="100" w:afterAutospacing="1"/>
        <w:rPr>
          <w:rFonts w:ascii="Verdana" w:hAnsi="Verdana"/>
        </w:rPr>
      </w:pPr>
      <w:r w:rsidRPr="00047E9B">
        <w:rPr>
          <w:rFonts w:ascii="Verdana" w:hAnsi="Verdana"/>
        </w:rPr>
        <w:t xml:space="preserve">Non-disabled: </w:t>
      </w:r>
    </w:p>
    <w:p w14:paraId="6FB9ED5A" w14:textId="77777777" w:rsidR="00942EF1" w:rsidRPr="00047E9B" w:rsidRDefault="004E5083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Low trust (0-4)</w:t>
      </w:r>
      <w:r w:rsidR="00942EF1" w:rsidRPr="00047E9B">
        <w:rPr>
          <w:rFonts w:ascii="Verdana" w:hAnsi="Verdana"/>
        </w:rPr>
        <w:t xml:space="preserve">: </w:t>
      </w:r>
      <w:r w:rsidRPr="00047E9B">
        <w:rPr>
          <w:rFonts w:ascii="Verdana" w:hAnsi="Verdana"/>
        </w:rPr>
        <w:t>17</w:t>
      </w:r>
      <w:r w:rsidR="27F91556" w:rsidRPr="00047E9B">
        <w:rPr>
          <w:rFonts w:ascii="Verdana" w:hAnsi="Verdana"/>
        </w:rPr>
        <w:t xml:space="preserve"> percent</w:t>
      </w:r>
    </w:p>
    <w:p w14:paraId="500D6EE8" w14:textId="77777777" w:rsidR="00942EF1" w:rsidRPr="00047E9B" w:rsidRDefault="004E5083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Medium trust (5-6)</w:t>
      </w:r>
      <w:r w:rsidR="00942EF1" w:rsidRPr="00047E9B">
        <w:rPr>
          <w:rFonts w:ascii="Verdana" w:hAnsi="Verdana"/>
        </w:rPr>
        <w:t xml:space="preserve">: </w:t>
      </w:r>
      <w:r w:rsidRPr="00047E9B">
        <w:rPr>
          <w:rFonts w:ascii="Verdana" w:hAnsi="Verdana"/>
        </w:rPr>
        <w:t>27</w:t>
      </w:r>
      <w:r w:rsidR="27F91556" w:rsidRPr="00047E9B">
        <w:rPr>
          <w:rFonts w:ascii="Verdana" w:hAnsi="Verdana"/>
        </w:rPr>
        <w:t xml:space="preserve"> percent</w:t>
      </w:r>
    </w:p>
    <w:p w14:paraId="39A56F98" w14:textId="0B7662C6" w:rsidR="004E5083" w:rsidRPr="00047E9B" w:rsidRDefault="004E5083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High trust (7-10)</w:t>
      </w:r>
      <w:r w:rsidR="00942EF1" w:rsidRPr="00047E9B">
        <w:rPr>
          <w:rFonts w:ascii="Verdana" w:hAnsi="Verdana"/>
        </w:rPr>
        <w:t xml:space="preserve">: </w:t>
      </w:r>
      <w:r w:rsidRPr="00047E9B">
        <w:rPr>
          <w:rFonts w:ascii="Verdana" w:hAnsi="Verdana"/>
        </w:rPr>
        <w:t>56</w:t>
      </w:r>
      <w:r w:rsidR="27F91556" w:rsidRPr="00047E9B">
        <w:rPr>
          <w:rFonts w:ascii="Verdana" w:hAnsi="Verdana"/>
        </w:rPr>
        <w:t xml:space="preserve"> percent</w:t>
      </w:r>
    </w:p>
    <w:p w14:paraId="2079564E" w14:textId="2ABDBD6F" w:rsidR="003B446B" w:rsidRPr="00047E9B" w:rsidRDefault="003B446B" w:rsidP="001C4531">
      <w:pPr>
        <w:spacing w:before="100" w:beforeAutospacing="1" w:after="100" w:afterAutospacing="1"/>
        <w:rPr>
          <w:rFonts w:ascii="Verdana" w:hAnsi="Verdana"/>
        </w:rPr>
      </w:pPr>
      <w:r w:rsidRPr="00047E9B">
        <w:rPr>
          <w:rFonts w:ascii="Verdana" w:hAnsi="Verdana"/>
        </w:rPr>
        <w:t>Source: General Social Survey 2023 (WGSS)</w:t>
      </w:r>
    </w:p>
    <w:p w14:paraId="15416A93" w14:textId="77777777" w:rsidR="00D37496" w:rsidRPr="00047E9B" w:rsidRDefault="00D37496">
      <w:pPr>
        <w:rPr>
          <w:rFonts w:ascii="Verdana" w:eastAsia="+mn-ea" w:hAnsi="Verdana" w:cs="+mn-cs"/>
          <w:b/>
          <w:bCs/>
          <w:kern w:val="24"/>
          <w:sz w:val="32"/>
          <w:szCs w:val="34"/>
          <w:lang w:val="en-NZ" w:eastAsia="en-NZ"/>
        </w:rPr>
      </w:pPr>
      <w:r w:rsidRPr="00047E9B">
        <w:rPr>
          <w:rFonts w:ascii="Verdana" w:eastAsia="+mn-ea" w:hAnsi="Verdana" w:cs="+mn-cs"/>
          <w:b/>
          <w:bCs/>
          <w:kern w:val="24"/>
          <w:sz w:val="32"/>
          <w:szCs w:val="34"/>
        </w:rPr>
        <w:br w:type="page"/>
      </w:r>
    </w:p>
    <w:p w14:paraId="75606C02" w14:textId="47CCC229" w:rsidR="003B446B" w:rsidRPr="00047E9B" w:rsidRDefault="003B446B" w:rsidP="00B54A50">
      <w:pPr>
        <w:pStyle w:val="NormalWeb"/>
        <w:rPr>
          <w:rFonts w:ascii="Verdana" w:hAnsi="Verdana"/>
        </w:rPr>
      </w:pPr>
      <w:r w:rsidRPr="00047E9B">
        <w:rPr>
          <w:rStyle w:val="Heading1Char"/>
          <w:rFonts w:ascii="Verdana" w:hAnsi="Verdana"/>
          <w:b/>
          <w:bCs/>
          <w:color w:val="auto"/>
          <w:sz w:val="32"/>
          <w:szCs w:val="32"/>
        </w:rPr>
        <w:lastRenderedPageBreak/>
        <w:t>Disabled people have less trust for police</w:t>
      </w:r>
      <w:r w:rsidR="00B54A50" w:rsidRPr="00047E9B">
        <w:rPr>
          <w:rFonts w:ascii="Verdana" w:hAnsi="Verdana"/>
        </w:rPr>
        <w:br/>
      </w:r>
      <w:r w:rsidR="27F91556" w:rsidRPr="00047E9B">
        <w:rPr>
          <w:rFonts w:ascii="Verdana" w:eastAsia="+mn-ea" w:hAnsi="Verdana" w:cs="+mn-cs"/>
          <w:kern w:val="24"/>
        </w:rPr>
        <w:t>Percent</w:t>
      </w:r>
      <w:r w:rsidRPr="00047E9B">
        <w:rPr>
          <w:rFonts w:ascii="Verdana" w:eastAsia="+mn-ea" w:hAnsi="Verdana" w:cs="+mn-cs"/>
          <w:kern w:val="24"/>
        </w:rPr>
        <w:t xml:space="preserve"> of people (ages 15-64), by level of trust in police (0-10 scale) and </w:t>
      </w:r>
      <w:proofErr w:type="gramStart"/>
      <w:r w:rsidRPr="00047E9B">
        <w:rPr>
          <w:rFonts w:ascii="Verdana" w:eastAsia="+mn-ea" w:hAnsi="Verdana" w:cs="+mn-cs"/>
          <w:kern w:val="24"/>
        </w:rPr>
        <w:t>group</w:t>
      </w:r>
      <w:proofErr w:type="gramEnd"/>
    </w:p>
    <w:p w14:paraId="6F18CA21" w14:textId="77777777" w:rsidR="00942EF1" w:rsidRPr="00047E9B" w:rsidRDefault="003B446B" w:rsidP="001C4531">
      <w:pPr>
        <w:spacing w:before="100" w:beforeAutospacing="1" w:after="100" w:afterAutospacing="1"/>
        <w:rPr>
          <w:rFonts w:ascii="Verdana" w:hAnsi="Verdana"/>
        </w:rPr>
      </w:pPr>
      <w:r w:rsidRPr="00047E9B">
        <w:rPr>
          <w:rFonts w:ascii="Verdana" w:hAnsi="Verdana"/>
        </w:rPr>
        <w:t xml:space="preserve">Tāngata </w:t>
      </w:r>
      <w:r w:rsidR="13170BBC" w:rsidRPr="00047E9B">
        <w:rPr>
          <w:rFonts w:ascii="Verdana" w:hAnsi="Verdana"/>
        </w:rPr>
        <w:t>w</w:t>
      </w:r>
      <w:r w:rsidRPr="00047E9B">
        <w:rPr>
          <w:rFonts w:ascii="Verdana" w:hAnsi="Verdana"/>
        </w:rPr>
        <w:t>haikaha Māori</w:t>
      </w:r>
      <w:r w:rsidR="00942EF1" w:rsidRPr="00047E9B">
        <w:rPr>
          <w:rFonts w:ascii="Verdana" w:hAnsi="Verdana"/>
        </w:rPr>
        <w:t>:</w:t>
      </w:r>
    </w:p>
    <w:p w14:paraId="5F834109" w14:textId="77777777" w:rsidR="00942EF1" w:rsidRPr="00047E9B" w:rsidRDefault="003B446B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Low trust (0-4)</w:t>
      </w:r>
      <w:r w:rsidR="00942EF1" w:rsidRPr="00047E9B">
        <w:rPr>
          <w:rFonts w:ascii="Verdana" w:hAnsi="Verdana"/>
        </w:rPr>
        <w:t xml:space="preserve">: </w:t>
      </w:r>
      <w:r w:rsidRPr="00047E9B">
        <w:rPr>
          <w:rFonts w:ascii="Verdana" w:hAnsi="Verdana"/>
        </w:rPr>
        <w:t>38</w:t>
      </w:r>
      <w:r w:rsidR="27F91556" w:rsidRPr="00047E9B">
        <w:rPr>
          <w:rFonts w:ascii="Verdana" w:hAnsi="Verdana"/>
        </w:rPr>
        <w:t xml:space="preserve"> percent</w:t>
      </w:r>
    </w:p>
    <w:p w14:paraId="60AE55A5" w14:textId="77777777" w:rsidR="00942EF1" w:rsidRPr="00047E9B" w:rsidRDefault="003B446B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Medium trust (5-6)</w:t>
      </w:r>
      <w:r w:rsidR="00942EF1" w:rsidRPr="00047E9B">
        <w:rPr>
          <w:rFonts w:ascii="Verdana" w:hAnsi="Verdana"/>
        </w:rPr>
        <w:t xml:space="preserve">: </w:t>
      </w:r>
      <w:r w:rsidRPr="00047E9B">
        <w:rPr>
          <w:rFonts w:ascii="Verdana" w:hAnsi="Verdana"/>
        </w:rPr>
        <w:t>15</w:t>
      </w:r>
      <w:r w:rsidR="27F91556" w:rsidRPr="00047E9B">
        <w:rPr>
          <w:rFonts w:ascii="Verdana" w:hAnsi="Verdana"/>
        </w:rPr>
        <w:t xml:space="preserve"> percent</w:t>
      </w:r>
    </w:p>
    <w:p w14:paraId="1AAA83FC" w14:textId="3146F42C" w:rsidR="003B446B" w:rsidRPr="00047E9B" w:rsidRDefault="003B446B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High trust (7-10)</w:t>
      </w:r>
      <w:r w:rsidR="00942EF1" w:rsidRPr="00047E9B">
        <w:rPr>
          <w:rFonts w:ascii="Verdana" w:hAnsi="Verdana"/>
        </w:rPr>
        <w:t xml:space="preserve">: </w:t>
      </w:r>
      <w:r w:rsidRPr="00047E9B">
        <w:rPr>
          <w:rFonts w:ascii="Verdana" w:hAnsi="Verdana"/>
        </w:rPr>
        <w:t>47</w:t>
      </w:r>
      <w:r w:rsidR="27F91556" w:rsidRPr="00047E9B">
        <w:rPr>
          <w:rFonts w:ascii="Verdana" w:hAnsi="Verdana"/>
        </w:rPr>
        <w:t xml:space="preserve"> percent</w:t>
      </w:r>
    </w:p>
    <w:p w14:paraId="7091ABB4" w14:textId="77777777" w:rsidR="00942EF1" w:rsidRPr="00047E9B" w:rsidRDefault="003B446B" w:rsidP="001C4531">
      <w:pPr>
        <w:spacing w:before="100" w:beforeAutospacing="1" w:after="100" w:afterAutospacing="1"/>
        <w:rPr>
          <w:rFonts w:ascii="Verdana" w:hAnsi="Verdana"/>
        </w:rPr>
      </w:pPr>
      <w:r w:rsidRPr="00047E9B">
        <w:rPr>
          <w:rFonts w:ascii="Verdana" w:hAnsi="Verdana"/>
        </w:rPr>
        <w:t xml:space="preserve">Disabled: </w:t>
      </w:r>
    </w:p>
    <w:p w14:paraId="2CCB1FC6" w14:textId="77777777" w:rsidR="00942EF1" w:rsidRPr="00047E9B" w:rsidRDefault="003B446B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Low trust (0-4)</w:t>
      </w:r>
      <w:r w:rsidR="00942EF1" w:rsidRPr="00047E9B">
        <w:rPr>
          <w:rFonts w:ascii="Verdana" w:hAnsi="Verdana"/>
        </w:rPr>
        <w:t>:</w:t>
      </w:r>
      <w:r w:rsidRPr="00047E9B">
        <w:rPr>
          <w:rFonts w:ascii="Verdana" w:hAnsi="Verdana"/>
        </w:rPr>
        <w:t xml:space="preserve"> 23</w:t>
      </w:r>
      <w:r w:rsidR="27F91556" w:rsidRPr="00047E9B">
        <w:rPr>
          <w:rFonts w:ascii="Verdana" w:hAnsi="Verdana"/>
        </w:rPr>
        <w:t xml:space="preserve"> percent</w:t>
      </w:r>
    </w:p>
    <w:p w14:paraId="3DF58AC9" w14:textId="77777777" w:rsidR="00942EF1" w:rsidRPr="00047E9B" w:rsidRDefault="003B446B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Medium trust (5-6)</w:t>
      </w:r>
      <w:r w:rsidR="00942EF1" w:rsidRPr="00047E9B">
        <w:rPr>
          <w:rFonts w:ascii="Verdana" w:hAnsi="Verdana"/>
        </w:rPr>
        <w:t xml:space="preserve">: </w:t>
      </w:r>
      <w:r w:rsidRPr="00047E9B">
        <w:rPr>
          <w:rFonts w:ascii="Verdana" w:hAnsi="Verdana"/>
        </w:rPr>
        <w:t>19</w:t>
      </w:r>
      <w:r w:rsidR="27F91556" w:rsidRPr="00047E9B">
        <w:rPr>
          <w:rFonts w:ascii="Verdana" w:hAnsi="Verdana"/>
        </w:rPr>
        <w:t xml:space="preserve"> percent</w:t>
      </w:r>
    </w:p>
    <w:p w14:paraId="1A961DFC" w14:textId="67A24F12" w:rsidR="003B446B" w:rsidRPr="00047E9B" w:rsidRDefault="003B446B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High trust (7-10)</w:t>
      </w:r>
      <w:r w:rsidR="00942EF1" w:rsidRPr="00047E9B">
        <w:rPr>
          <w:rFonts w:ascii="Verdana" w:hAnsi="Verdana"/>
        </w:rPr>
        <w:t xml:space="preserve">: </w:t>
      </w:r>
      <w:r w:rsidRPr="00047E9B">
        <w:rPr>
          <w:rFonts w:ascii="Verdana" w:hAnsi="Verdana"/>
        </w:rPr>
        <w:t>58</w:t>
      </w:r>
      <w:r w:rsidR="27F91556" w:rsidRPr="00047E9B">
        <w:rPr>
          <w:rFonts w:ascii="Verdana" w:hAnsi="Verdana"/>
        </w:rPr>
        <w:t xml:space="preserve"> percent</w:t>
      </w:r>
    </w:p>
    <w:p w14:paraId="65379C49" w14:textId="77777777" w:rsidR="00942EF1" w:rsidRPr="00047E9B" w:rsidRDefault="003B446B" w:rsidP="001C4531">
      <w:pPr>
        <w:spacing w:before="100" w:beforeAutospacing="1" w:after="100" w:afterAutospacing="1"/>
        <w:rPr>
          <w:rFonts w:ascii="Verdana" w:hAnsi="Verdana"/>
        </w:rPr>
      </w:pPr>
      <w:r w:rsidRPr="00047E9B">
        <w:rPr>
          <w:rFonts w:ascii="Verdana" w:hAnsi="Verdana"/>
        </w:rPr>
        <w:t xml:space="preserve">Non-disabled: </w:t>
      </w:r>
    </w:p>
    <w:p w14:paraId="231F6D1A" w14:textId="77777777" w:rsidR="00942EF1" w:rsidRPr="00047E9B" w:rsidRDefault="003B446B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Low trust (0-4)</w:t>
      </w:r>
      <w:r w:rsidR="00942EF1" w:rsidRPr="00047E9B">
        <w:rPr>
          <w:rFonts w:ascii="Verdana" w:hAnsi="Verdana"/>
        </w:rPr>
        <w:t xml:space="preserve">: </w:t>
      </w:r>
      <w:r w:rsidRPr="00047E9B">
        <w:rPr>
          <w:rFonts w:ascii="Verdana" w:hAnsi="Verdana"/>
        </w:rPr>
        <w:t>10</w:t>
      </w:r>
      <w:r w:rsidR="27F91556" w:rsidRPr="00047E9B">
        <w:rPr>
          <w:rFonts w:ascii="Verdana" w:hAnsi="Verdana"/>
        </w:rPr>
        <w:t xml:space="preserve"> percent</w:t>
      </w:r>
    </w:p>
    <w:p w14:paraId="4BDCB406" w14:textId="77777777" w:rsidR="00942EF1" w:rsidRPr="00047E9B" w:rsidRDefault="003B446B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Medium trust (5-6)</w:t>
      </w:r>
      <w:r w:rsidR="00942EF1" w:rsidRPr="00047E9B">
        <w:rPr>
          <w:rFonts w:ascii="Verdana" w:hAnsi="Verdana"/>
        </w:rPr>
        <w:t xml:space="preserve">: </w:t>
      </w:r>
      <w:r w:rsidRPr="00047E9B">
        <w:rPr>
          <w:rFonts w:ascii="Verdana" w:hAnsi="Verdana"/>
        </w:rPr>
        <w:t>17</w:t>
      </w:r>
      <w:r w:rsidR="27F91556" w:rsidRPr="00047E9B">
        <w:rPr>
          <w:rFonts w:ascii="Verdana" w:hAnsi="Verdana"/>
        </w:rPr>
        <w:t xml:space="preserve"> percent</w:t>
      </w:r>
    </w:p>
    <w:p w14:paraId="0C09124F" w14:textId="231325A0" w:rsidR="003B446B" w:rsidRPr="00047E9B" w:rsidRDefault="003B446B" w:rsidP="001C4531">
      <w:pPr>
        <w:pStyle w:val="ListParagraph"/>
        <w:numPr>
          <w:ilvl w:val="0"/>
          <w:numId w:val="1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High trust (7-10)</w:t>
      </w:r>
      <w:r w:rsidR="00942EF1" w:rsidRPr="00047E9B">
        <w:rPr>
          <w:rFonts w:ascii="Verdana" w:hAnsi="Verdana"/>
        </w:rPr>
        <w:t xml:space="preserve">: </w:t>
      </w:r>
      <w:r w:rsidRPr="00047E9B">
        <w:rPr>
          <w:rFonts w:ascii="Verdana" w:hAnsi="Verdana"/>
        </w:rPr>
        <w:t>73</w:t>
      </w:r>
      <w:r w:rsidR="27F91556" w:rsidRPr="00047E9B">
        <w:rPr>
          <w:rFonts w:ascii="Verdana" w:hAnsi="Verdana"/>
        </w:rPr>
        <w:t xml:space="preserve"> percent</w:t>
      </w:r>
    </w:p>
    <w:p w14:paraId="1B57227A" w14:textId="77777777" w:rsidR="003B446B" w:rsidRPr="00047E9B" w:rsidRDefault="003B446B" w:rsidP="001C4531">
      <w:pPr>
        <w:spacing w:before="100" w:beforeAutospacing="1" w:after="100" w:afterAutospacing="1"/>
        <w:rPr>
          <w:rFonts w:ascii="Verdana" w:hAnsi="Verdana"/>
        </w:rPr>
      </w:pPr>
      <w:r w:rsidRPr="00047E9B">
        <w:rPr>
          <w:rFonts w:ascii="Verdana" w:hAnsi="Verdana"/>
        </w:rPr>
        <w:t>Source: General Social Survey 2023 (WGSS)</w:t>
      </w:r>
    </w:p>
    <w:p w14:paraId="7577E069" w14:textId="3232FDA1" w:rsidR="00806F75" w:rsidRPr="00047E9B" w:rsidRDefault="00806F75" w:rsidP="001C4531">
      <w:pPr>
        <w:pStyle w:val="ListParagraph"/>
        <w:numPr>
          <w:ilvl w:val="0"/>
          <w:numId w:val="16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Disabled people have expressed concerns about accessibility, affordability, disability awareness and responsiveness within the civil justice system.</w:t>
      </w:r>
    </w:p>
    <w:p w14:paraId="12E90F63" w14:textId="6938D3D1" w:rsidR="00806F75" w:rsidRPr="00047E9B" w:rsidRDefault="00806F75" w:rsidP="001C4531">
      <w:pPr>
        <w:pStyle w:val="ListParagraph"/>
        <w:numPr>
          <w:ilvl w:val="0"/>
          <w:numId w:val="16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>However, we have limited quantitative data about disabled people’s interactions with the justice system, and in particular the prevalence and experiences of disabled people in custody.</w:t>
      </w:r>
    </w:p>
    <w:p w14:paraId="28223908" w14:textId="21DDD8BF" w:rsidR="004E5083" w:rsidRPr="00047E9B" w:rsidRDefault="00806F75" w:rsidP="001C4531">
      <w:pPr>
        <w:pStyle w:val="ListParagraph"/>
        <w:numPr>
          <w:ilvl w:val="0"/>
          <w:numId w:val="16"/>
        </w:numPr>
        <w:spacing w:before="100" w:beforeAutospacing="1" w:after="100" w:afterAutospacing="1"/>
        <w:ind w:left="567" w:hanging="567"/>
        <w:rPr>
          <w:rFonts w:ascii="Verdana" w:hAnsi="Verdana"/>
        </w:rPr>
      </w:pPr>
      <w:r w:rsidRPr="00047E9B">
        <w:rPr>
          <w:rFonts w:ascii="Verdana" w:hAnsi="Verdana"/>
        </w:rPr>
        <w:t xml:space="preserve">The data we do have </w:t>
      </w:r>
      <w:proofErr w:type="spellStart"/>
      <w:r w:rsidRPr="00047E9B">
        <w:rPr>
          <w:rFonts w:ascii="Verdana" w:hAnsi="Verdana"/>
        </w:rPr>
        <w:t>shows</w:t>
      </w:r>
      <w:proofErr w:type="spellEnd"/>
      <w:r w:rsidRPr="00047E9B">
        <w:rPr>
          <w:rFonts w:ascii="Verdana" w:hAnsi="Verdana"/>
        </w:rPr>
        <w:t xml:space="preserve"> that disabled people have less trust for police and courts. This may be an indication of poor experiences for disabled people in the justice system.</w:t>
      </w:r>
    </w:p>
    <w:sectPr w:rsidR="004E5083" w:rsidRPr="00047E9B">
      <w:headerReference w:type="even" r:id="rId12"/>
      <w:foot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FDEE97" w14:textId="77777777" w:rsidR="000A4AC9" w:rsidRDefault="000A4AC9" w:rsidP="00574705">
      <w:pPr>
        <w:spacing w:after="0" w:line="240" w:lineRule="auto"/>
      </w:pPr>
      <w:r>
        <w:separator/>
      </w:r>
    </w:p>
  </w:endnote>
  <w:endnote w:type="continuationSeparator" w:id="0">
    <w:p w14:paraId="14CE6E45" w14:textId="77777777" w:rsidR="000A4AC9" w:rsidRDefault="000A4AC9" w:rsidP="00574705">
      <w:pPr>
        <w:spacing w:after="0" w:line="240" w:lineRule="auto"/>
      </w:pPr>
      <w:r>
        <w:continuationSeparator/>
      </w:r>
    </w:p>
  </w:endnote>
  <w:endnote w:type="continuationNotice" w:id="1">
    <w:p w14:paraId="2CA2CD8A" w14:textId="77777777" w:rsidR="000A4AC9" w:rsidRDefault="000A4AC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0160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4B18F33" w14:textId="29E64D81" w:rsidR="00C06478" w:rsidRDefault="00C06478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DFEE9E1" w14:textId="77777777" w:rsidR="00C06478" w:rsidRDefault="00C064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ADD4F" w14:textId="77777777" w:rsidR="000A4AC9" w:rsidRDefault="000A4AC9" w:rsidP="00574705">
      <w:pPr>
        <w:spacing w:after="0" w:line="240" w:lineRule="auto"/>
      </w:pPr>
      <w:r>
        <w:separator/>
      </w:r>
    </w:p>
  </w:footnote>
  <w:footnote w:type="continuationSeparator" w:id="0">
    <w:p w14:paraId="6393A821" w14:textId="77777777" w:rsidR="000A4AC9" w:rsidRDefault="000A4AC9" w:rsidP="00574705">
      <w:pPr>
        <w:spacing w:after="0" w:line="240" w:lineRule="auto"/>
      </w:pPr>
      <w:r>
        <w:continuationSeparator/>
      </w:r>
    </w:p>
  </w:footnote>
  <w:footnote w:type="continuationNotice" w:id="1">
    <w:p w14:paraId="21629F2B" w14:textId="77777777" w:rsidR="000A4AC9" w:rsidRDefault="000A4AC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D3C31" w14:textId="5BCE9005" w:rsidR="00574705" w:rsidRDefault="005747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1E780408" wp14:editId="15090E7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90575" cy="352425"/>
              <wp:effectExtent l="0" t="0" r="9525" b="9525"/>
              <wp:wrapNone/>
              <wp:docPr id="277615033" name="Text Box 2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765355" w14:textId="2567AA9D" w:rsidR="00574705" w:rsidRPr="00574705" w:rsidRDefault="00574705" w:rsidP="005747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47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8040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-CONFIDENCE" style="position:absolute;margin-left:0;margin-top:0;width:62.25pt;height:27.7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+LvCQIAABUEAAAOAAAAZHJzL2Uyb0RvYy54bWysU8Fu2zAMvQ/YPwi6L3ayZd2MOEXWIsOA&#10;oC2QDj0rshwbkERBYmJnXz9KsZOt22nYRaZI+pF8fFrc9kazo/KhBVvy6STnTFkJVWv3Jf/+vH73&#10;ibOAwlZCg1UlP6nAb5dv3yw6V6gZNKAr5RmB2FB0ruQNoiuyLMhGGREm4JSlYA3eCKSr32eVFx2h&#10;G53N8vxj1oGvnAepQiDv/TnIlwm/rpXEx7oOCpkuOfWG6fTp3MUzWy5EsffCNa0c2hD/0IURraWi&#10;F6h7gYIdfPsHlGmlhwA1TiSYDOq6lSrNQNNM81fTbBvhVJqFyAnuQlP4f7Dy4bh1T55h/wV6WmAk&#10;pHOhCOSM8/S1N/FLnTKKE4WnC22qRybJefM5n9/MOZMUej+ffZjNI0p2/dn5gF8VGBaNknvaSiJL&#10;HDcBz6ljSqxlYd1qnTaj7W8Owoye7NphtLDf9UPbO6hONI2H86KDk+uWam5EwCfhabM0AKkVH+mo&#10;NXQlh8HirAH/42/+mE+EU5SzjpRScktS5kx/s7SIKKpkTImFnG5+dO9Gwx7MHZD+pvQUnExmzEM9&#10;mrUH80I6XsVCFBJWUrmS42je4Vmy9A6kWq1SEunHCdzYrZMROvIUSXzuX4R3A9NIK3qAUUaieEX4&#10;OTf+GdzqgER72kbk9EzkQDVpL+1zeCdR3L/eU9b1NS9/AgAA//8DAFBLAwQUAAYACAAAACEAZqMM&#10;fdkAAAAEAQAADwAAAGRycy9kb3ducmV2LnhtbEyPwU7DMBBE70j8g7VI3KiTCiMUsqkqpB56K4Vy&#10;3sZLEojXUey2oV+PywUuK41mNPO2XEyuV0ceQ+cFIZ9loFhqbztpEN5eV3ePoEIksdR7YYRvDrCo&#10;rq9KKqw/yQsft7FRqURCQQhtjEOhdahbdhRmfmBJ3ocfHcUkx0bbkU6p3PV6nmUP2lEnaaGlgZ9b&#10;rr+2B4fQmaWPOe/Wq893l/v8vFmb8wbx9mZaPoGKPMW/MFzwEzpUiWnvD2KD6hHSI/H3Xrz5vQG1&#10;RzDGgK5K/R+++gEAAP//AwBQSwECLQAUAAYACAAAACEAtoM4kv4AAADhAQAAEwAAAAAAAAAAAAAA&#10;AAAAAAAAW0NvbnRlbnRfVHlwZXNdLnhtbFBLAQItABQABgAIAAAAIQA4/SH/1gAAAJQBAAALAAAA&#10;AAAAAAAAAAAAAC8BAABfcmVscy8ucmVsc1BLAQItABQABgAIAAAAIQDuF+LvCQIAABUEAAAOAAAA&#10;AAAAAAAAAAAAAC4CAABkcnMvZTJvRG9jLnhtbFBLAQItABQABgAIAAAAIQBmowx92QAAAAQBAAAP&#10;AAAAAAAAAAAAAAAAAGMEAABkcnMvZG93bnJldi54bWxQSwUGAAAAAAQABADzAAAAaQUAAAAA&#10;" filled="f" stroked="f">
              <v:textbox style="mso-fit-shape-to-text:t" inset="0,15pt,0,0">
                <w:txbxContent>
                  <w:p w14:paraId="1B765355" w14:textId="2567AA9D" w:rsidR="00574705" w:rsidRPr="00574705" w:rsidRDefault="00574705" w:rsidP="005747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470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6FB60" w14:textId="79B7180B" w:rsidR="00574705" w:rsidRDefault="00574705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0225EE1" wp14:editId="746F434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790575" cy="352425"/>
              <wp:effectExtent l="0" t="0" r="9525" b="9525"/>
              <wp:wrapNone/>
              <wp:docPr id="1456526655" name="Text Box 1" descr="IN-CONFIDEN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0575" cy="3524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28CACE" w14:textId="75F934E6" w:rsidR="00574705" w:rsidRPr="00574705" w:rsidRDefault="00574705" w:rsidP="0057470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7470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IN-CONFIDENCE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225EE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IN-CONFIDENCE" style="position:absolute;margin-left:0;margin-top:0;width:62.25pt;height:27.7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zZhDAIAABwEAAAOAAAAZHJzL2Uyb0RvYy54bWysU8Fu2zAMvQ/YPwi6L3ayZe2MOEXWIsOA&#10;oi2QDj0rshQbkEVBYmJnXz9KjpOu22nYRaZI+pF8fFrc9K1hB+VDA7bk00nOmbISqsbuSv7jef3h&#10;mrOAwlbCgFUlP6rAb5bv3y06V6gZ1GAq5RmB2FB0ruQ1oiuyLMhatSJMwClLQQ2+FUhXv8sqLzpC&#10;b002y/PPWQe+ch6kCoG8d0OQLxO+1krio9ZBITMlp94wnT6d23hmy4Uodl64upGnNsQ/dNGKxlLR&#10;M9SdQMH2vvkDqm2khwAaJxLaDLRupEoz0DTT/M00m1o4lWYhcoI70xT+H6x8OGzck2fYf4WeFhgJ&#10;6VwoAjnjPL32bfxSp4ziROHxTJvqkUlyXn3J51dzziSFPs5nn2bziJJdfnY+4DcFLYtGyT1tJZEl&#10;DvcBh9QxJdaysG6MSZsx9jcHYUZPdukwWthve9ZUr7rfQnWkoTwM+w5OrhsqfS8CPglPC6Y5SLT4&#10;SIc20JUcThZnNfiff/PHfOKdopx1JJiSW1I0Z+a7pX1EbSVjSmTkdPOjezsadt/eAslwSi/CyWTG&#10;PDSjqT20LyTnVSxEIWEllSs5juYtDsql5yDVapWSSEZO4L3dOBmhI12Ry+f+RXh3IhxpUw8wqkkU&#10;b3gfcuOfwa32SOynpURqByJPjJME01pPzyVq/PU9ZV0e9fIXAAAA//8DAFBLAwQUAAYACAAAACEA&#10;ZqMMfdkAAAAEAQAADwAAAGRycy9kb3ducmV2LnhtbEyPwU7DMBBE70j8g7VI3KiTCiMUsqkqpB56&#10;K4Vy3sZLEojXUey2oV+PywUuK41mNPO2XEyuV0ceQ+cFIZ9loFhqbztpEN5eV3ePoEIksdR7YYRv&#10;DrCorq9KKqw/yQsft7FRqURCQQhtjEOhdahbdhRmfmBJ3ocfHcUkx0bbkU6p3PV6nmUP2lEnaaGl&#10;gZ9brr+2B4fQmaWPOe/Wq893l/v8vFmb8wbx9mZaPoGKPMW/MFzwEzpUiWnvD2KD6hHSI/H3Xrz5&#10;vQG1RzDGgK5K/R+++gEAAP//AwBQSwECLQAUAAYACAAAACEAtoM4kv4AAADhAQAAEwAAAAAAAAAA&#10;AAAAAAAAAAAAW0NvbnRlbnRfVHlwZXNdLnhtbFBLAQItABQABgAIAAAAIQA4/SH/1gAAAJQBAAAL&#10;AAAAAAAAAAAAAAAAAC8BAABfcmVscy8ucmVsc1BLAQItABQABgAIAAAAIQBSazZhDAIAABwEAAAO&#10;AAAAAAAAAAAAAAAAAC4CAABkcnMvZTJvRG9jLnhtbFBLAQItABQABgAIAAAAIQBmowx92QAAAAQB&#10;AAAPAAAAAAAAAAAAAAAAAGYEAABkcnMvZG93bnJldi54bWxQSwUGAAAAAAQABADzAAAAbAUAAAAA&#10;" filled="f" stroked="f">
              <v:textbox style="mso-fit-shape-to-text:t" inset="0,15pt,0,0">
                <w:txbxContent>
                  <w:p w14:paraId="5628CACE" w14:textId="75F934E6" w:rsidR="00574705" w:rsidRPr="00574705" w:rsidRDefault="00574705" w:rsidP="0057470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74705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IN-CONFIDENCE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B561F"/>
    <w:multiLevelType w:val="hybridMultilevel"/>
    <w:tmpl w:val="51360A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9EA"/>
    <w:multiLevelType w:val="hybridMultilevel"/>
    <w:tmpl w:val="ACBE90A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80A63"/>
    <w:multiLevelType w:val="hybridMultilevel"/>
    <w:tmpl w:val="6204CC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7C0ED0"/>
    <w:multiLevelType w:val="hybridMultilevel"/>
    <w:tmpl w:val="F59CF43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42084E"/>
    <w:multiLevelType w:val="hybridMultilevel"/>
    <w:tmpl w:val="B4EE826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A1432F"/>
    <w:multiLevelType w:val="hybridMultilevel"/>
    <w:tmpl w:val="4C2228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4649A1"/>
    <w:multiLevelType w:val="hybridMultilevel"/>
    <w:tmpl w:val="DDACB1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D1916"/>
    <w:multiLevelType w:val="hybridMultilevel"/>
    <w:tmpl w:val="355EBC2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6F461C"/>
    <w:multiLevelType w:val="hybridMultilevel"/>
    <w:tmpl w:val="A460779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027161"/>
    <w:multiLevelType w:val="hybridMultilevel"/>
    <w:tmpl w:val="E5B8506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F5C42"/>
    <w:multiLevelType w:val="hybridMultilevel"/>
    <w:tmpl w:val="4A6EEDB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101FF5"/>
    <w:multiLevelType w:val="hybridMultilevel"/>
    <w:tmpl w:val="824411D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793C1C"/>
    <w:multiLevelType w:val="hybridMultilevel"/>
    <w:tmpl w:val="9BBACA7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815F40"/>
    <w:multiLevelType w:val="hybridMultilevel"/>
    <w:tmpl w:val="EC169F4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92A12F2"/>
    <w:multiLevelType w:val="hybridMultilevel"/>
    <w:tmpl w:val="13E206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3A53D7"/>
    <w:multiLevelType w:val="hybridMultilevel"/>
    <w:tmpl w:val="47B8E7B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6705039">
    <w:abstractNumId w:val="1"/>
  </w:num>
  <w:num w:numId="2" w16cid:durableId="179054188">
    <w:abstractNumId w:val="9"/>
  </w:num>
  <w:num w:numId="3" w16cid:durableId="1352759083">
    <w:abstractNumId w:val="0"/>
  </w:num>
  <w:num w:numId="4" w16cid:durableId="1794864089">
    <w:abstractNumId w:val="3"/>
  </w:num>
  <w:num w:numId="5" w16cid:durableId="513224038">
    <w:abstractNumId w:val="12"/>
  </w:num>
  <w:num w:numId="6" w16cid:durableId="524633433">
    <w:abstractNumId w:val="2"/>
  </w:num>
  <w:num w:numId="7" w16cid:durableId="812522740">
    <w:abstractNumId w:val="15"/>
  </w:num>
  <w:num w:numId="8" w16cid:durableId="707685148">
    <w:abstractNumId w:val="13"/>
  </w:num>
  <w:num w:numId="9" w16cid:durableId="371342372">
    <w:abstractNumId w:val="14"/>
  </w:num>
  <w:num w:numId="10" w16cid:durableId="1006980783">
    <w:abstractNumId w:val="11"/>
  </w:num>
  <w:num w:numId="11" w16cid:durableId="1657950284">
    <w:abstractNumId w:val="10"/>
  </w:num>
  <w:num w:numId="12" w16cid:durableId="1001200746">
    <w:abstractNumId w:val="6"/>
  </w:num>
  <w:num w:numId="13" w16cid:durableId="245575697">
    <w:abstractNumId w:val="5"/>
  </w:num>
  <w:num w:numId="14" w16cid:durableId="472213462">
    <w:abstractNumId w:val="8"/>
  </w:num>
  <w:num w:numId="15" w16cid:durableId="1292400672">
    <w:abstractNumId w:val="7"/>
  </w:num>
  <w:num w:numId="16" w16cid:durableId="18790066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B9576C"/>
    <w:rsid w:val="00003DFF"/>
    <w:rsid w:val="00047E9B"/>
    <w:rsid w:val="000564E8"/>
    <w:rsid w:val="00077011"/>
    <w:rsid w:val="00085F03"/>
    <w:rsid w:val="000A4AC9"/>
    <w:rsid w:val="00105AA1"/>
    <w:rsid w:val="0012414C"/>
    <w:rsid w:val="00133620"/>
    <w:rsid w:val="0013697D"/>
    <w:rsid w:val="00156383"/>
    <w:rsid w:val="00166698"/>
    <w:rsid w:val="00184757"/>
    <w:rsid w:val="00195964"/>
    <w:rsid w:val="001A3D75"/>
    <w:rsid w:val="001C4531"/>
    <w:rsid w:val="001D1315"/>
    <w:rsid w:val="001D6DAA"/>
    <w:rsid w:val="00227AFD"/>
    <w:rsid w:val="0025584B"/>
    <w:rsid w:val="002608DD"/>
    <w:rsid w:val="002642DE"/>
    <w:rsid w:val="00295751"/>
    <w:rsid w:val="0034453E"/>
    <w:rsid w:val="00345073"/>
    <w:rsid w:val="003B446B"/>
    <w:rsid w:val="00410FAD"/>
    <w:rsid w:val="00417E99"/>
    <w:rsid w:val="00453991"/>
    <w:rsid w:val="00474B1C"/>
    <w:rsid w:val="00477109"/>
    <w:rsid w:val="00495073"/>
    <w:rsid w:val="004971F8"/>
    <w:rsid w:val="00497872"/>
    <w:rsid w:val="004A7D0B"/>
    <w:rsid w:val="004E5083"/>
    <w:rsid w:val="004F7CD8"/>
    <w:rsid w:val="0052189B"/>
    <w:rsid w:val="005412A5"/>
    <w:rsid w:val="005451B5"/>
    <w:rsid w:val="0055323F"/>
    <w:rsid w:val="005678FF"/>
    <w:rsid w:val="00574705"/>
    <w:rsid w:val="00576C1B"/>
    <w:rsid w:val="00585812"/>
    <w:rsid w:val="005B1412"/>
    <w:rsid w:val="005D463B"/>
    <w:rsid w:val="006318F3"/>
    <w:rsid w:val="0064590A"/>
    <w:rsid w:val="006C1BB8"/>
    <w:rsid w:val="006D7908"/>
    <w:rsid w:val="00736FE9"/>
    <w:rsid w:val="0074165F"/>
    <w:rsid w:val="00782D68"/>
    <w:rsid w:val="00795BA4"/>
    <w:rsid w:val="007C4C32"/>
    <w:rsid w:val="00806F75"/>
    <w:rsid w:val="00810D8F"/>
    <w:rsid w:val="00820539"/>
    <w:rsid w:val="00842650"/>
    <w:rsid w:val="008C1CC6"/>
    <w:rsid w:val="008E7BA9"/>
    <w:rsid w:val="00942EF1"/>
    <w:rsid w:val="0097296B"/>
    <w:rsid w:val="00976CCF"/>
    <w:rsid w:val="009D2D48"/>
    <w:rsid w:val="00A03E55"/>
    <w:rsid w:val="00A25D8B"/>
    <w:rsid w:val="00A32A24"/>
    <w:rsid w:val="00A42174"/>
    <w:rsid w:val="00A511D4"/>
    <w:rsid w:val="00A62B9F"/>
    <w:rsid w:val="00A91C7E"/>
    <w:rsid w:val="00A91F92"/>
    <w:rsid w:val="00AB7AC8"/>
    <w:rsid w:val="00B11669"/>
    <w:rsid w:val="00B17D7A"/>
    <w:rsid w:val="00B252A5"/>
    <w:rsid w:val="00B30694"/>
    <w:rsid w:val="00B3170F"/>
    <w:rsid w:val="00B46D12"/>
    <w:rsid w:val="00B54A50"/>
    <w:rsid w:val="00B60CAD"/>
    <w:rsid w:val="00B74180"/>
    <w:rsid w:val="00C06478"/>
    <w:rsid w:val="00C77DFA"/>
    <w:rsid w:val="00C81C3D"/>
    <w:rsid w:val="00CB1C63"/>
    <w:rsid w:val="00CD3BEA"/>
    <w:rsid w:val="00D05402"/>
    <w:rsid w:val="00D229EA"/>
    <w:rsid w:val="00D37496"/>
    <w:rsid w:val="00D60C9C"/>
    <w:rsid w:val="00D77014"/>
    <w:rsid w:val="00DB6248"/>
    <w:rsid w:val="00DB63E7"/>
    <w:rsid w:val="00E03E19"/>
    <w:rsid w:val="00E03E42"/>
    <w:rsid w:val="00E067E5"/>
    <w:rsid w:val="00E4568F"/>
    <w:rsid w:val="00E50CCC"/>
    <w:rsid w:val="00E90F32"/>
    <w:rsid w:val="00EB0E6F"/>
    <w:rsid w:val="00EF0F84"/>
    <w:rsid w:val="00F040DE"/>
    <w:rsid w:val="00F13490"/>
    <w:rsid w:val="00F36A3B"/>
    <w:rsid w:val="00F81B6C"/>
    <w:rsid w:val="00F96B5D"/>
    <w:rsid w:val="00FC4079"/>
    <w:rsid w:val="0509CCE2"/>
    <w:rsid w:val="05AAEB21"/>
    <w:rsid w:val="07BC0DB7"/>
    <w:rsid w:val="089C7014"/>
    <w:rsid w:val="08CACE19"/>
    <w:rsid w:val="0E46EF22"/>
    <w:rsid w:val="0EB9576C"/>
    <w:rsid w:val="0FFE85B1"/>
    <w:rsid w:val="116CCF27"/>
    <w:rsid w:val="13170BBC"/>
    <w:rsid w:val="1324761C"/>
    <w:rsid w:val="13F9F3C4"/>
    <w:rsid w:val="18BFE18A"/>
    <w:rsid w:val="19FA4D8E"/>
    <w:rsid w:val="224F9849"/>
    <w:rsid w:val="2381CA7E"/>
    <w:rsid w:val="27F91556"/>
    <w:rsid w:val="29D97280"/>
    <w:rsid w:val="2C46483E"/>
    <w:rsid w:val="2E8DC65E"/>
    <w:rsid w:val="33423C63"/>
    <w:rsid w:val="366C12D9"/>
    <w:rsid w:val="367CF234"/>
    <w:rsid w:val="374605B5"/>
    <w:rsid w:val="3865F3C2"/>
    <w:rsid w:val="399A57ED"/>
    <w:rsid w:val="3B74FFD8"/>
    <w:rsid w:val="3B81BC3B"/>
    <w:rsid w:val="3C1D484B"/>
    <w:rsid w:val="3E9BCA53"/>
    <w:rsid w:val="408F41BE"/>
    <w:rsid w:val="40D66D2F"/>
    <w:rsid w:val="43E2F87C"/>
    <w:rsid w:val="4D79A80C"/>
    <w:rsid w:val="4E73C2F9"/>
    <w:rsid w:val="523C1ED8"/>
    <w:rsid w:val="5322667C"/>
    <w:rsid w:val="548D3A29"/>
    <w:rsid w:val="54D0AF98"/>
    <w:rsid w:val="555E4991"/>
    <w:rsid w:val="584229F8"/>
    <w:rsid w:val="584F06B6"/>
    <w:rsid w:val="5A88793E"/>
    <w:rsid w:val="5D5A49F1"/>
    <w:rsid w:val="6115CD54"/>
    <w:rsid w:val="65BDB4B8"/>
    <w:rsid w:val="67287CE2"/>
    <w:rsid w:val="7241DA96"/>
    <w:rsid w:val="7400DBFF"/>
    <w:rsid w:val="7458F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0EB9576C"/>
  <w15:chartTrackingRefBased/>
  <w15:docId w15:val="{7A439B39-B420-48B1-BEBA-22A7F53E2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9215B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9215B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39215B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9215B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39215B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9215B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9215B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eastAsiaTheme="majorEastAsia" w:cstheme="majorBidi"/>
      <w:color w:val="39215B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39215B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color w:val="39215B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39215B" w:themeColor="accent1" w:themeShade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9215B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9215B" w:themeColor="accent1" w:themeShade="BF"/>
        <w:bottom w:val="single" w:sz="4" w:space="10" w:color="39215B" w:themeColor="accent1" w:themeShade="BF"/>
      </w:pBdr>
      <w:spacing w:before="360" w:after="360"/>
      <w:ind w:left="864" w:right="864"/>
      <w:jc w:val="center"/>
    </w:pPr>
    <w:rPr>
      <w:i/>
      <w:iCs/>
      <w:color w:val="39215B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9215B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747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74705"/>
  </w:style>
  <w:style w:type="paragraph" w:styleId="Footer">
    <w:name w:val="footer"/>
    <w:basedOn w:val="Normal"/>
    <w:link w:val="FooterChar"/>
    <w:uiPriority w:val="99"/>
    <w:unhideWhenUsed/>
    <w:rsid w:val="00085F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5F03"/>
  </w:style>
  <w:style w:type="table" w:styleId="TableGrid">
    <w:name w:val="Table Grid"/>
    <w:basedOn w:val="TableNormal"/>
    <w:uiPriority w:val="39"/>
    <w:rsid w:val="00645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D13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val="en-NZ" w:eastAsia="en-NZ"/>
    </w:rPr>
  </w:style>
  <w:style w:type="paragraph" w:styleId="ListParagraph">
    <w:name w:val="List Paragraph"/>
    <w:basedOn w:val="Normal"/>
    <w:uiPriority w:val="34"/>
    <w:qFormat/>
    <w:rsid w:val="00F81B6C"/>
    <w:pPr>
      <w:ind w:left="720"/>
      <w:contextualSpacing/>
    </w:pPr>
  </w:style>
  <w:style w:type="paragraph" w:styleId="NoSpacing">
    <w:name w:val="No Spacing"/>
    <w:uiPriority w:val="1"/>
    <w:qFormat/>
    <w:rsid w:val="00A511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3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59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9980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9963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9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46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67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584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4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Whaikaha">
  <a:themeElements>
    <a:clrScheme name="whaikaha2">
      <a:dk1>
        <a:srgbClr val="000000"/>
      </a:dk1>
      <a:lt1>
        <a:srgbClr val="FFFFFF"/>
      </a:lt1>
      <a:dk2>
        <a:srgbClr val="253E51"/>
      </a:dk2>
      <a:lt2>
        <a:srgbClr val="F4F5E0"/>
      </a:lt2>
      <a:accent1>
        <a:srgbClr val="4D2D7A"/>
      </a:accent1>
      <a:accent2>
        <a:srgbClr val="D4D17B"/>
      </a:accent2>
      <a:accent3>
        <a:srgbClr val="C7DCFF"/>
      </a:accent3>
      <a:accent4>
        <a:srgbClr val="FBFFA6"/>
      </a:accent4>
      <a:accent5>
        <a:srgbClr val="322950"/>
      </a:accent5>
      <a:accent6>
        <a:srgbClr val="E7E6E6"/>
      </a:accent6>
      <a:hlink>
        <a:srgbClr val="0563C1"/>
      </a:hlink>
      <a:folHlink>
        <a:srgbClr val="954F72"/>
      </a:folHlink>
    </a:clrScheme>
    <a:fontScheme name="Whaikaha main">
      <a:majorFont>
        <a:latin typeface="Roboto"/>
        <a:ea typeface=""/>
        <a:cs typeface=""/>
      </a:majorFont>
      <a:minorFont>
        <a:latin typeface="Robot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haikaha" id="{2598CDEB-963F-4818-87EC-C2F5C1380990}" vid="{EC183075-F6B3-4796-9A61-6B95978A64F3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MDP Document" ma:contentTypeID="0x010100A4C634B9829F5B4CA6729CA17A9903AF00EA4A5CE51E2E484B8094BDA55C1C60E0" ma:contentTypeVersion="22" ma:contentTypeDescription="Accommodates MDP specific document metadata" ma:contentTypeScope="" ma:versionID="56cba143036685be4ab00523ee39e400">
  <xsd:schema xmlns:xsd="http://www.w3.org/2001/XMLSchema" xmlns:xs="http://www.w3.org/2001/XMLSchema" xmlns:p="http://schemas.microsoft.com/office/2006/metadata/properties" xmlns:ns1="http://schemas.microsoft.com/sharepoint/v3" xmlns:ns2="cf3d60de-ad45-4276-8b4c-0bd67e763f11" xmlns:ns3="6bf56950-f9e0-48ec-868e-26a1022d1140" targetNamespace="http://schemas.microsoft.com/office/2006/metadata/properties" ma:root="true" ma:fieldsID="21d2d834f8c790c7b429b70bf7fc7d4e" ns1:_="" ns2:_="" ns3:_="">
    <xsd:import namespace="http://schemas.microsoft.com/sharepoint/v3"/>
    <xsd:import namespace="cf3d60de-ad45-4276-8b4c-0bd67e763f11"/>
    <xsd:import namespace="6bf56950-f9e0-48ec-868e-26a1022d114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lcf76f155ced4ddcb4097134ff3c332f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Relationto4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3d60de-ad45-4276-8b4c-0bd67e763f1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hidden="true" ma:list="{a81c9f13-c285-45ba-9d86-0746677c7d5d}" ma:internalName="TaxCatchAll" ma:showField="CatchAllData" ma:web="cf3d60de-ad45-4276-8b4c-0bd67e763f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f56950-f9e0-48ec-868e-26a1022d1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5349594-bd3e-4347-a84f-2427756b12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Relationto4Rs" ma:index="28" nillable="true" ma:displayName="Relation to 4 Rs" ma:format="Dropdown" ma:internalName="Relationto4R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f3d60de-ad45-4276-8b4c-0bd67e763f11">PSGID-1792574269-8299</_dlc_DocId>
    <_dlc_DocIdUrl xmlns="cf3d60de-ad45-4276-8b4c-0bd67e763f11">
      <Url>https://msdgovtnz.sharepoint.com/sites/whaikaha-ORG-Whaikaha---ODI/_layouts/15/DocIdRedir.aspx?ID=PSGID-1792574269-8299</Url>
      <Description>PSGID-1792574269-8299</Description>
    </_dlc_DocIdUrl>
    <TaxCatchAll xmlns="cf3d60de-ad45-4276-8b4c-0bd67e763f11" xsi:nil="true"/>
    <lcf76f155ced4ddcb4097134ff3c332f xmlns="6bf56950-f9e0-48ec-868e-26a1022d1140">
      <Terms xmlns="http://schemas.microsoft.com/office/infopath/2007/PartnerControls"/>
    </lcf76f155ced4ddcb4097134ff3c332f>
    <_ip_UnifiedCompliancePolicyUIAction xmlns="http://schemas.microsoft.com/sharepoint/v3" xsi:nil="true"/>
    <_ip_UnifiedCompliancePolicyProperties xmlns="http://schemas.microsoft.com/sharepoint/v3" xsi:nil="true"/>
    <SharedWithUsers xmlns="cf3d60de-ad45-4276-8b4c-0bd67e763f11">
      <UserInfo>
        <DisplayName/>
        <AccountId xsi:nil="true"/>
        <AccountType/>
      </UserInfo>
    </SharedWithUsers>
    <Relationto4Rs xmlns="6bf56950-f9e0-48ec-868e-26a1022d1140" xsi:nil="true"/>
  </documentManagement>
</p:properties>
</file>

<file path=customXml/itemProps1.xml><?xml version="1.0" encoding="utf-8"?>
<ds:datastoreItem xmlns:ds="http://schemas.openxmlformats.org/officeDocument/2006/customXml" ds:itemID="{62AFDB42-F354-4D34-9335-D0310D33443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2D69BA8-2619-4928-A048-1391531801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6885FC-1AD9-4812-9B10-06305F8AB98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12EF560-CE9B-45BE-B874-85CD227555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f3d60de-ad45-4276-8b4c-0bd67e763f11"/>
    <ds:schemaRef ds:uri="6bf56950-f9e0-48ec-868e-26a1022d11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1DB4732-5EBD-4E6A-8071-473AB64FEB32}">
  <ds:schemaRefs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schemas.microsoft.com/sharepoint/v3"/>
    <ds:schemaRef ds:uri="http://purl.org/dc/terms/"/>
    <ds:schemaRef ds:uri="http://schemas.openxmlformats.org/package/2006/metadata/core-properties"/>
    <ds:schemaRef ds:uri="cf3d60de-ad45-4276-8b4c-0bd67e763f11"/>
    <ds:schemaRef ds:uri="6bf56950-f9e0-48ec-868e-26a1022d1140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919</Words>
  <Characters>5240</Characters>
  <Application>Microsoft Office Word</Application>
  <DocSecurity>0</DocSecurity>
  <Lines>43</Lines>
  <Paragraphs>12</Paragraphs>
  <ScaleCrop>false</ScaleCrop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Moore</dc:creator>
  <cp:keywords/>
  <dc:description/>
  <cp:lastModifiedBy>Helen Isbister</cp:lastModifiedBy>
  <cp:revision>2</cp:revision>
  <dcterms:created xsi:type="dcterms:W3CDTF">2025-06-16T22:46:00Z</dcterms:created>
  <dcterms:modified xsi:type="dcterms:W3CDTF">2025-06-16T22:46:00Z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0x010100A4C634B9829F5B4CA6729CA17A9903AF00EA4A5CE51E2E484B8094BDA55C1C60E0</vt:lpwstr>
  </property>
  <property fmtid="{D5CDD505-2E9C-101B-9397-08002B2CF9AE}" pid="3" name="_dlc_DocIdItemGuid">
    <vt:lpwstr>9d07cd76-d400-4ba8-9cf5-61ae3eec4686</vt:lpwstr>
  </property>
  <property fmtid="{D5CDD505-2E9C-101B-9397-08002B2CF9AE}" pid="4" name="ClassificationContentMarkingHeaderShapeIds">
    <vt:lpwstr>56d0d53f,108c11b9,7c6b5f40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Text">
    <vt:lpwstr>IN-CONFIDENCE</vt:lpwstr>
  </property>
  <property fmtid="{D5CDD505-2E9C-101B-9397-08002B2CF9AE}" pid="7" name="MSIP_Label_f43e46a9-9901-46e9-bfae-bb6189d4cb66_Enabled">
    <vt:lpwstr>true</vt:lpwstr>
  </property>
  <property fmtid="{D5CDD505-2E9C-101B-9397-08002B2CF9AE}" pid="8" name="MSIP_Label_f43e46a9-9901-46e9-bfae-bb6189d4cb66_SetDate">
    <vt:lpwstr>2025-04-13T20:47:02Z</vt:lpwstr>
  </property>
  <property fmtid="{D5CDD505-2E9C-101B-9397-08002B2CF9AE}" pid="9" name="MSIP_Label_f43e46a9-9901-46e9-bfae-bb6189d4cb66_Method">
    <vt:lpwstr>Standard</vt:lpwstr>
  </property>
  <property fmtid="{D5CDD505-2E9C-101B-9397-08002B2CF9AE}" pid="10" name="MSIP_Label_f43e46a9-9901-46e9-bfae-bb6189d4cb66_Name">
    <vt:lpwstr>In-confidence</vt:lpwstr>
  </property>
  <property fmtid="{D5CDD505-2E9C-101B-9397-08002B2CF9AE}" pid="11" name="MSIP_Label_f43e46a9-9901-46e9-bfae-bb6189d4cb66_SiteId">
    <vt:lpwstr>e40c4f52-99bd-4d4f-bf7e-d001a2ca6556</vt:lpwstr>
  </property>
  <property fmtid="{D5CDD505-2E9C-101B-9397-08002B2CF9AE}" pid="12" name="MSIP_Label_f43e46a9-9901-46e9-bfae-bb6189d4cb66_ActionId">
    <vt:lpwstr>702e63bc-d1cc-42e0-98a7-d07b9b0b8b1a</vt:lpwstr>
  </property>
  <property fmtid="{D5CDD505-2E9C-101B-9397-08002B2CF9AE}" pid="13" name="MSIP_Label_f43e46a9-9901-46e9-bfae-bb6189d4cb66_ContentBits">
    <vt:lpwstr>1</vt:lpwstr>
  </property>
  <property fmtid="{D5CDD505-2E9C-101B-9397-08002B2CF9AE}" pid="14" name="MSIP_Label_f43e46a9-9901-46e9-bfae-bb6189d4cb66_Tag">
    <vt:lpwstr>10, 3, 0, 2</vt:lpwstr>
  </property>
  <property fmtid="{D5CDD505-2E9C-101B-9397-08002B2CF9AE}" pid="15" name="MediaServiceImageTags">
    <vt:lpwstr/>
  </property>
  <property fmtid="{D5CDD505-2E9C-101B-9397-08002B2CF9AE}" pid="16" name="LinktoWebsite">
    <vt:lpwstr>, </vt:lpwstr>
  </property>
  <property fmtid="{D5CDD505-2E9C-101B-9397-08002B2CF9AE}" pid="17" name="Order">
    <vt:r8>159000</vt:r8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</Properties>
</file>