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69F2" w14:textId="77777777" w:rsidR="006E6C6D" w:rsidRDefault="006E6C6D" w:rsidP="006E6C6D">
      <w:pPr>
        <w:pStyle w:val="Header"/>
      </w:pPr>
      <w:r w:rsidRPr="00F61963">
        <w:rPr>
          <w:rFonts w:eastAsia="Times New Roman"/>
          <w:noProof/>
          <w:szCs w:val="20"/>
          <w:lang w:eastAsia="en-NZ"/>
        </w:rPr>
        <w:drawing>
          <wp:inline distT="0" distB="0" distL="0" distR="0" wp14:anchorId="158A6C37" wp14:editId="5EC1311D">
            <wp:extent cx="5486400" cy="912982"/>
            <wp:effectExtent l="0" t="0" r="0" b="1905"/>
            <wp:docPr id="4" name="Picture 4" descr="A purple Ministry of Disabled People -  Whaikaha logo. On the left is a QR code and underneath the words ‘scan for the NZSL name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urple Ministry of Disabled People -  Whaikaha logo. On the left is a QR code and underneath the words ‘scan for the NZSL name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ADE2F" w14:textId="461E9535" w:rsidR="006E6C6D" w:rsidRDefault="00EB3650" w:rsidP="00EB36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color w:val="000000"/>
          <w:sz w:val="22"/>
          <w:szCs w:val="22"/>
        </w:rPr>
      </w:pPr>
      <w:r w:rsidRPr="00820DAD">
        <w:rPr>
          <w:rStyle w:val="normaltextrun"/>
          <w:rFonts w:ascii="Verdana" w:hAnsi="Verdana"/>
          <w:color w:val="000000"/>
          <w:sz w:val="22"/>
          <w:szCs w:val="22"/>
        </w:rPr>
        <w:t>Visual description: A purple Ministry of Disabled People</w:t>
      </w:r>
      <w:r w:rsidR="00625921">
        <w:rPr>
          <w:rStyle w:val="normaltextrun"/>
          <w:rFonts w:ascii="Verdana" w:hAnsi="Verdana"/>
          <w:color w:val="000000"/>
          <w:sz w:val="22"/>
          <w:szCs w:val="22"/>
        </w:rPr>
        <w:t xml:space="preserve"> –</w:t>
      </w:r>
      <w:r w:rsidRPr="00820DAD">
        <w:rPr>
          <w:rStyle w:val="normaltextrun"/>
          <w:rFonts w:ascii="Verdana" w:hAnsi="Verdana"/>
          <w:color w:val="000000"/>
          <w:sz w:val="22"/>
          <w:szCs w:val="22"/>
        </w:rPr>
        <w:t xml:space="preserve"> </w:t>
      </w:r>
      <w:r w:rsidR="00625921">
        <w:rPr>
          <w:rStyle w:val="normaltextrun"/>
          <w:rFonts w:ascii="Verdana" w:hAnsi="Verdana"/>
          <w:color w:val="000000"/>
          <w:sz w:val="22"/>
          <w:szCs w:val="22"/>
        </w:rPr>
        <w:t>W</w:t>
      </w:r>
      <w:r w:rsidR="00625921" w:rsidRPr="00820DAD">
        <w:rPr>
          <w:rStyle w:val="normaltextrun"/>
          <w:rFonts w:ascii="Verdana" w:hAnsi="Verdana"/>
          <w:color w:val="000000"/>
          <w:sz w:val="22"/>
          <w:szCs w:val="22"/>
        </w:rPr>
        <w:t xml:space="preserve">haikaha </w:t>
      </w:r>
      <w:r w:rsidRPr="00820DAD">
        <w:rPr>
          <w:rStyle w:val="normaltextrun"/>
          <w:rFonts w:ascii="Verdana" w:hAnsi="Verdana"/>
          <w:color w:val="000000"/>
          <w:sz w:val="22"/>
          <w:szCs w:val="22"/>
        </w:rPr>
        <w:t>logo. On the left is a QR code and underneath the words ‘scan for the NZSL name’.</w:t>
      </w:r>
    </w:p>
    <w:p w14:paraId="36019595" w14:textId="77777777" w:rsidR="00EB3650" w:rsidRPr="00EB3650" w:rsidRDefault="00EB3650" w:rsidP="00EB365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</w:p>
    <w:p w14:paraId="1D143D1C" w14:textId="6BADAA4B" w:rsidR="00972F9E" w:rsidRDefault="007144A6" w:rsidP="006E6C6D">
      <w:pPr>
        <w:pStyle w:val="Heading1"/>
        <w:spacing w:before="0"/>
        <w:rPr>
          <w:rFonts w:ascii="Verdana" w:hAnsi="Verdana"/>
          <w:color w:val="auto"/>
          <w:sz w:val="30"/>
          <w:szCs w:val="30"/>
        </w:rPr>
      </w:pPr>
      <w:r w:rsidRPr="64D0C8BE">
        <w:rPr>
          <w:rFonts w:ascii="Verdana" w:hAnsi="Verdana"/>
          <w:color w:val="auto"/>
          <w:sz w:val="30"/>
          <w:szCs w:val="30"/>
        </w:rPr>
        <w:t>Accessibility Advisory Group</w:t>
      </w:r>
      <w:r w:rsidR="00972F9E" w:rsidRPr="64D0C8BE">
        <w:rPr>
          <w:rFonts w:ascii="Verdana" w:hAnsi="Verdana"/>
          <w:color w:val="auto"/>
          <w:sz w:val="30"/>
          <w:szCs w:val="30"/>
        </w:rPr>
        <w:t xml:space="preserve"> </w:t>
      </w:r>
    </w:p>
    <w:p w14:paraId="6A9C1521" w14:textId="3847299D" w:rsidR="00377241" w:rsidRPr="00972F9E" w:rsidRDefault="007144A6" w:rsidP="006E6C6D">
      <w:pPr>
        <w:pStyle w:val="Heading1"/>
        <w:spacing w:before="0"/>
        <w:rPr>
          <w:rFonts w:ascii="Verdana" w:hAnsi="Verdana"/>
          <w:color w:val="auto"/>
          <w:sz w:val="30"/>
          <w:szCs w:val="30"/>
        </w:rPr>
      </w:pPr>
      <w:r w:rsidRPr="00972F9E">
        <w:rPr>
          <w:rFonts w:ascii="Verdana" w:hAnsi="Verdana"/>
          <w:color w:val="auto"/>
          <w:sz w:val="30"/>
          <w:szCs w:val="30"/>
        </w:rPr>
        <w:t>Terms of Reference</w:t>
      </w:r>
    </w:p>
    <w:p w14:paraId="00E37D17" w14:textId="77777777" w:rsidR="00377241" w:rsidRPr="00A50303" w:rsidRDefault="007144A6" w:rsidP="004B145E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>Purpose</w:t>
      </w:r>
    </w:p>
    <w:p w14:paraId="324296A0" w14:textId="77777777" w:rsidR="00377241" w:rsidRPr="00A50303" w:rsidRDefault="007144A6" w:rsidP="002F75F5">
      <w:pPr>
        <w:spacing w:afterLines="80" w:after="192"/>
        <w:rPr>
          <w:rFonts w:ascii="Verdana" w:hAnsi="Verdana"/>
        </w:rPr>
      </w:pPr>
      <w:r w:rsidRPr="68FD8717">
        <w:rPr>
          <w:rFonts w:ascii="Verdana" w:hAnsi="Verdana"/>
        </w:rPr>
        <w:t>This document sets out the role of the Accessibility Advisory Group (AAG), its membership, how members are selected and paid, expected conduct, and how meetings will be run.</w:t>
      </w:r>
    </w:p>
    <w:p w14:paraId="3F99459A" w14:textId="29B74F0A" w:rsidR="00377241" w:rsidRPr="00A50303" w:rsidRDefault="007144A6" w:rsidP="004B145E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>Background</w:t>
      </w:r>
    </w:p>
    <w:p w14:paraId="5F593F08" w14:textId="49F0A6ED" w:rsidR="00377241" w:rsidRPr="002F75F5" w:rsidRDefault="00A01E6B" w:rsidP="002F75F5">
      <w:pPr>
        <w:spacing w:afterLines="80" w:after="192"/>
        <w:rPr>
          <w:rFonts w:ascii="Verdana" w:hAnsi="Verdana"/>
        </w:rPr>
      </w:pPr>
      <w:r w:rsidRPr="2F964B79">
        <w:rPr>
          <w:rFonts w:ascii="Verdana" w:hAnsi="Verdana"/>
        </w:rPr>
        <w:t xml:space="preserve">Ministry of Disabled People </w:t>
      </w:r>
      <w:r>
        <w:rPr>
          <w:rFonts w:ascii="Verdana" w:hAnsi="Verdana"/>
        </w:rPr>
        <w:t xml:space="preserve">– </w:t>
      </w:r>
      <w:r w:rsidR="045B2FE2" w:rsidRPr="2F964B79">
        <w:rPr>
          <w:rFonts w:ascii="Verdana" w:hAnsi="Verdana"/>
        </w:rPr>
        <w:t xml:space="preserve">Whaikaha is leading a </w:t>
      </w:r>
      <w:proofErr w:type="spellStart"/>
      <w:r w:rsidR="045B2FE2" w:rsidRPr="2F964B79">
        <w:rPr>
          <w:rFonts w:ascii="Verdana" w:hAnsi="Verdana"/>
        </w:rPr>
        <w:t>programme</w:t>
      </w:r>
      <w:proofErr w:type="spellEnd"/>
      <w:r w:rsidR="045B2FE2" w:rsidRPr="2F964B79">
        <w:rPr>
          <w:rFonts w:ascii="Verdana" w:hAnsi="Verdana"/>
        </w:rPr>
        <w:t xml:space="preserve"> to improve accessibility in </w:t>
      </w:r>
      <w:r w:rsidR="0DA4AA2A" w:rsidRPr="2F964B79">
        <w:rPr>
          <w:rFonts w:ascii="Verdana" w:hAnsi="Verdana"/>
        </w:rPr>
        <w:t>Aotearoa New Zealand</w:t>
      </w:r>
      <w:r w:rsidR="045B2FE2" w:rsidRPr="2F964B79">
        <w:rPr>
          <w:rFonts w:ascii="Verdana" w:hAnsi="Verdana"/>
        </w:rPr>
        <w:t xml:space="preserve">. This </w:t>
      </w:r>
      <w:r w:rsidR="3EF269E1" w:rsidRPr="2F964B79">
        <w:rPr>
          <w:rFonts w:ascii="Verdana" w:hAnsi="Verdana"/>
        </w:rPr>
        <w:t>mahi</w:t>
      </w:r>
      <w:r w:rsidR="045B2FE2" w:rsidRPr="2F964B79">
        <w:rPr>
          <w:rFonts w:ascii="Verdana" w:hAnsi="Verdana"/>
        </w:rPr>
        <w:t xml:space="preserve"> </w:t>
      </w:r>
      <w:r w:rsidR="40582D2E" w:rsidRPr="2F964B79">
        <w:rPr>
          <w:rFonts w:ascii="Verdana" w:hAnsi="Verdana"/>
        </w:rPr>
        <w:t>fits with</w:t>
      </w:r>
      <w:r w:rsidR="045B2FE2" w:rsidRPr="2F964B79">
        <w:rPr>
          <w:rFonts w:ascii="Verdana" w:hAnsi="Verdana"/>
        </w:rPr>
        <w:t xml:space="preserve"> the U</w:t>
      </w:r>
      <w:r w:rsidR="40582D2E" w:rsidRPr="2F964B79">
        <w:rPr>
          <w:rFonts w:ascii="Verdana" w:hAnsi="Verdana"/>
        </w:rPr>
        <w:t>nited Nations</w:t>
      </w:r>
      <w:r w:rsidR="045B2FE2" w:rsidRPr="2F964B79">
        <w:rPr>
          <w:rFonts w:ascii="Verdana" w:hAnsi="Verdana"/>
        </w:rPr>
        <w:t xml:space="preserve"> Convention on the Rights of Persons with Disabilities (UNCRPD), the Human Rights Act (1993), and </w:t>
      </w:r>
      <w:r w:rsidR="33AFA301" w:rsidRPr="2F964B79">
        <w:rPr>
          <w:rFonts w:ascii="Verdana" w:hAnsi="Verdana"/>
        </w:rPr>
        <w:t xml:space="preserve">our </w:t>
      </w:r>
      <w:r w:rsidR="045B2FE2" w:rsidRPr="2F964B79">
        <w:rPr>
          <w:rFonts w:ascii="Verdana" w:hAnsi="Verdana"/>
        </w:rPr>
        <w:t>Strategic Intentions.</w:t>
      </w:r>
    </w:p>
    <w:p w14:paraId="2018B341" w14:textId="4D6090B0" w:rsidR="002F75F5" w:rsidRDefault="007144A6" w:rsidP="002F75F5">
      <w:pPr>
        <w:spacing w:afterLines="80" w:after="192"/>
        <w:rPr>
          <w:rFonts w:ascii="Verdana" w:hAnsi="Verdana"/>
        </w:rPr>
      </w:pPr>
      <w:r w:rsidRPr="68FD8717">
        <w:rPr>
          <w:rFonts w:ascii="Verdana" w:hAnsi="Verdana"/>
        </w:rPr>
        <w:t xml:space="preserve">To ensure the </w:t>
      </w:r>
      <w:proofErr w:type="spellStart"/>
      <w:r w:rsidRPr="68FD8717">
        <w:rPr>
          <w:rFonts w:ascii="Verdana" w:hAnsi="Verdana"/>
        </w:rPr>
        <w:t>programme</w:t>
      </w:r>
      <w:proofErr w:type="spellEnd"/>
      <w:r w:rsidRPr="68FD8717">
        <w:rPr>
          <w:rFonts w:ascii="Verdana" w:hAnsi="Verdana"/>
        </w:rPr>
        <w:t xml:space="preserve"> reflects what matters to disabled people, Whaikaha is establishing the AAG to provide advice on which initiatives to </w:t>
      </w:r>
      <w:proofErr w:type="spellStart"/>
      <w:r w:rsidRPr="68FD8717">
        <w:rPr>
          <w:rFonts w:ascii="Verdana" w:hAnsi="Verdana"/>
        </w:rPr>
        <w:t>prioritise</w:t>
      </w:r>
      <w:proofErr w:type="spellEnd"/>
      <w:r w:rsidRPr="68FD8717">
        <w:rPr>
          <w:rFonts w:ascii="Verdana" w:hAnsi="Verdana"/>
        </w:rPr>
        <w:t xml:space="preserve"> and how to deliver them.</w:t>
      </w:r>
    </w:p>
    <w:p w14:paraId="3429C77E" w14:textId="6ED7D81A" w:rsidR="00A23EC0" w:rsidRPr="002F75F5" w:rsidRDefault="00714D9E" w:rsidP="002F75F5">
      <w:pPr>
        <w:spacing w:afterLines="80" w:after="192"/>
        <w:rPr>
          <w:rFonts w:ascii="Verdana" w:hAnsi="Verdana"/>
        </w:rPr>
      </w:pPr>
      <w:r>
        <w:rPr>
          <w:rStyle w:val="normaltextrun"/>
          <w:rFonts w:ascii="Verdana" w:hAnsi="Verdana"/>
          <w:color w:val="000000"/>
          <w:shd w:val="clear" w:color="auto" w:fill="FFFFFF"/>
        </w:rPr>
        <w:t xml:space="preserve">It is expected the AAG will reflect </w:t>
      </w:r>
      <w:r w:rsidR="00A23EC0">
        <w:rPr>
          <w:rStyle w:val="normaltextrun"/>
          <w:rFonts w:ascii="Verdana" w:hAnsi="Verdana"/>
          <w:color w:val="000000"/>
          <w:shd w:val="clear" w:color="auto" w:fill="FFFFFF"/>
        </w:rPr>
        <w:t>the voices of tāngata whaikaha Māori</w:t>
      </w:r>
      <w:r w:rsidR="001C5E14">
        <w:rPr>
          <w:rStyle w:val="normaltextrun"/>
          <w:rFonts w:ascii="Verdana" w:hAnsi="Verdana"/>
          <w:color w:val="000000"/>
          <w:shd w:val="clear" w:color="auto" w:fill="FFFFFF"/>
        </w:rPr>
        <w:t xml:space="preserve"> and</w:t>
      </w:r>
      <w:r w:rsidR="00A23EC0">
        <w:rPr>
          <w:rStyle w:val="normaltextrun"/>
          <w:rFonts w:ascii="Verdana" w:hAnsi="Verdana"/>
          <w:color w:val="000000"/>
          <w:shd w:val="clear" w:color="auto" w:fill="FFFFFF"/>
        </w:rPr>
        <w:t xml:space="preserve"> Turi Māori</w:t>
      </w:r>
      <w:r w:rsidR="00874889">
        <w:rPr>
          <w:rStyle w:val="normaltextrun"/>
          <w:rFonts w:ascii="Verdana" w:hAnsi="Verdana"/>
          <w:color w:val="000000"/>
          <w:shd w:val="clear" w:color="auto" w:fill="FFFFFF"/>
        </w:rPr>
        <w:t xml:space="preserve"> and will </w:t>
      </w:r>
      <w:r>
        <w:rPr>
          <w:rStyle w:val="normaltextrun"/>
          <w:rFonts w:ascii="Verdana" w:hAnsi="Verdana"/>
          <w:color w:val="000000"/>
          <w:shd w:val="clear" w:color="auto" w:fill="FFFFFF"/>
        </w:rPr>
        <w:t xml:space="preserve">uphold Te </w:t>
      </w:r>
      <w:proofErr w:type="spellStart"/>
      <w:r>
        <w:rPr>
          <w:rStyle w:val="normaltextrun"/>
          <w:rFonts w:ascii="Verdana" w:hAnsi="Verdana"/>
          <w:color w:val="000000"/>
          <w:shd w:val="clear" w:color="auto" w:fill="FFFFFF"/>
        </w:rPr>
        <w:t>Tirit</w:t>
      </w:r>
      <w:r w:rsidR="00874889">
        <w:rPr>
          <w:rStyle w:val="normaltextrun"/>
          <w:rFonts w:ascii="Verdana" w:hAnsi="Verdana"/>
          <w:color w:val="000000"/>
          <w:shd w:val="clear" w:color="auto" w:fill="FFFFFF"/>
        </w:rPr>
        <w:t>i</w:t>
      </w:r>
      <w:proofErr w:type="spellEnd"/>
      <w:r>
        <w:rPr>
          <w:rStyle w:val="normaltextrun"/>
          <w:rFonts w:ascii="Verdana" w:hAnsi="Verdana"/>
          <w:color w:val="000000"/>
          <w:shd w:val="clear" w:color="auto" w:fill="FFFFFF"/>
        </w:rPr>
        <w:t xml:space="preserve"> o Waitangi/</w:t>
      </w:r>
      <w:r w:rsidR="000E4F8A">
        <w:rPr>
          <w:rStyle w:val="normaltextrun"/>
          <w:rFonts w:ascii="Verdana" w:hAnsi="Verdana"/>
          <w:color w:val="000000"/>
          <w:shd w:val="clear" w:color="auto" w:fill="FFFFFF"/>
        </w:rPr>
        <w:t>T</w:t>
      </w:r>
      <w:r>
        <w:rPr>
          <w:rStyle w:val="normaltextrun"/>
          <w:rFonts w:ascii="Verdana" w:hAnsi="Verdana"/>
          <w:color w:val="000000"/>
          <w:shd w:val="clear" w:color="auto" w:fill="FFFFFF"/>
        </w:rPr>
        <w:t>he Treaty of Waitangi</w:t>
      </w:r>
      <w:r w:rsidR="00D55250">
        <w:rPr>
          <w:rStyle w:val="normaltextrun"/>
          <w:rFonts w:ascii="Verdana" w:hAnsi="Verdana"/>
          <w:color w:val="000000"/>
          <w:shd w:val="clear" w:color="auto" w:fill="FFFFFF"/>
        </w:rPr>
        <w:t xml:space="preserve">. </w:t>
      </w:r>
    </w:p>
    <w:p w14:paraId="0772BABA" w14:textId="763383A5" w:rsidR="002F75F5" w:rsidRPr="002F75F5" w:rsidRDefault="007144A6" w:rsidP="004B145E">
      <w:pPr>
        <w:pStyle w:val="Heading2"/>
        <w:spacing w:afterLines="40" w:after="96"/>
        <w:rPr>
          <w:rFonts w:ascii="Verdana" w:hAnsi="Verdana"/>
          <w:color w:val="auto"/>
        </w:rPr>
      </w:pPr>
      <w:r w:rsidRPr="2F964B79">
        <w:rPr>
          <w:rFonts w:ascii="Verdana" w:hAnsi="Verdana"/>
          <w:color w:val="auto"/>
        </w:rPr>
        <w:t xml:space="preserve">Work </w:t>
      </w:r>
      <w:proofErr w:type="spellStart"/>
      <w:r w:rsidR="00EB3650">
        <w:rPr>
          <w:rFonts w:ascii="Verdana" w:hAnsi="Verdana"/>
          <w:color w:val="auto"/>
        </w:rPr>
        <w:t>P</w:t>
      </w:r>
      <w:r w:rsidR="28F6F5FF" w:rsidRPr="2F964B79">
        <w:rPr>
          <w:rFonts w:ascii="Verdana" w:hAnsi="Verdana"/>
          <w:color w:val="auto"/>
        </w:rPr>
        <w:t>r</w:t>
      </w:r>
      <w:r w:rsidRPr="2F964B79">
        <w:rPr>
          <w:rFonts w:ascii="Verdana" w:hAnsi="Verdana"/>
          <w:color w:val="auto"/>
        </w:rPr>
        <w:t>ogramme</w:t>
      </w:r>
      <w:proofErr w:type="spellEnd"/>
      <w:r w:rsidRPr="2F964B79">
        <w:rPr>
          <w:rFonts w:ascii="Verdana" w:hAnsi="Verdana"/>
          <w:color w:val="auto"/>
        </w:rPr>
        <w:t xml:space="preserve"> </w:t>
      </w:r>
      <w:r w:rsidR="00633553" w:rsidRPr="2F964B79">
        <w:rPr>
          <w:rFonts w:ascii="Verdana" w:hAnsi="Verdana"/>
          <w:color w:val="auto"/>
        </w:rPr>
        <w:t>a</w:t>
      </w:r>
      <w:r w:rsidRPr="2F964B79">
        <w:rPr>
          <w:rFonts w:ascii="Verdana" w:hAnsi="Verdana"/>
          <w:color w:val="auto"/>
        </w:rPr>
        <w:t>pproach</w:t>
      </w:r>
    </w:p>
    <w:p w14:paraId="3D63EB12" w14:textId="1B710BC5" w:rsidR="004B145E" w:rsidRDefault="002F75F5" w:rsidP="002F75F5">
      <w:pPr>
        <w:rPr>
          <w:rFonts w:ascii="Verdana" w:hAnsi="Verdana"/>
        </w:rPr>
      </w:pPr>
      <w:r w:rsidRPr="002F75F5">
        <w:rPr>
          <w:rFonts w:ascii="Verdana" w:hAnsi="Verdana"/>
        </w:rPr>
        <w:t xml:space="preserve">The Accessibility Work </w:t>
      </w:r>
      <w:proofErr w:type="spellStart"/>
      <w:r w:rsidRPr="002F75F5">
        <w:rPr>
          <w:rFonts w:ascii="Verdana" w:hAnsi="Verdana"/>
        </w:rPr>
        <w:t>Programme</w:t>
      </w:r>
      <w:proofErr w:type="spellEnd"/>
      <w:r w:rsidRPr="002F75F5">
        <w:rPr>
          <w:rFonts w:ascii="Verdana" w:hAnsi="Verdana"/>
        </w:rPr>
        <w:t xml:space="preserve"> (AWP) will be delivered through a structured </w:t>
      </w:r>
      <w:r w:rsidR="00E05785">
        <w:rPr>
          <w:rFonts w:ascii="Verdana" w:hAnsi="Verdana"/>
        </w:rPr>
        <w:t>group of</w:t>
      </w:r>
      <w:r w:rsidRPr="002F75F5">
        <w:rPr>
          <w:rFonts w:ascii="Verdana" w:hAnsi="Verdana"/>
        </w:rPr>
        <w:t xml:space="preserve"> initiatives. While many valuable ideas will emerge, Whaikaha must </w:t>
      </w:r>
      <w:proofErr w:type="spellStart"/>
      <w:r w:rsidR="00633553">
        <w:rPr>
          <w:rFonts w:ascii="Verdana" w:hAnsi="Verdana"/>
        </w:rPr>
        <w:t>prioritise</w:t>
      </w:r>
      <w:proofErr w:type="spellEnd"/>
      <w:r w:rsidRPr="002F75F5">
        <w:rPr>
          <w:rFonts w:ascii="Verdana" w:hAnsi="Verdana"/>
        </w:rPr>
        <w:t xml:space="preserve"> those with the greatest potential impact, given limited resources. </w:t>
      </w:r>
    </w:p>
    <w:p w14:paraId="058D58D7" w14:textId="478769DB" w:rsidR="002F75F5" w:rsidRDefault="002F75F5" w:rsidP="002F75F5">
      <w:pPr>
        <w:rPr>
          <w:rFonts w:ascii="Verdana" w:hAnsi="Verdana"/>
        </w:rPr>
      </w:pPr>
      <w:r w:rsidRPr="2F964B79">
        <w:rPr>
          <w:rFonts w:ascii="Verdana" w:hAnsi="Verdana"/>
        </w:rPr>
        <w:t xml:space="preserve">The AAG will play a key </w:t>
      </w:r>
      <w:r w:rsidR="4595A040" w:rsidRPr="2F964B79">
        <w:rPr>
          <w:rFonts w:ascii="Verdana" w:hAnsi="Verdana"/>
        </w:rPr>
        <w:t xml:space="preserve">advisory </w:t>
      </w:r>
      <w:r w:rsidRPr="2F964B79">
        <w:rPr>
          <w:rFonts w:ascii="Verdana" w:hAnsi="Verdana"/>
        </w:rPr>
        <w:t xml:space="preserve">role in </w:t>
      </w:r>
      <w:r w:rsidR="00633553" w:rsidRPr="2F964B79">
        <w:rPr>
          <w:rFonts w:ascii="Verdana" w:hAnsi="Verdana"/>
        </w:rPr>
        <w:t>this</w:t>
      </w:r>
      <w:r w:rsidR="004B145E" w:rsidRPr="2F964B79">
        <w:rPr>
          <w:rFonts w:ascii="Verdana" w:hAnsi="Verdana"/>
        </w:rPr>
        <w:t xml:space="preserve"> process, including:</w:t>
      </w:r>
    </w:p>
    <w:p w14:paraId="7FF635EA" w14:textId="5F22B3AE" w:rsidR="002F75F5" w:rsidRPr="006E6C6D" w:rsidRDefault="6B85CDFE" w:rsidP="007D262E">
      <w:pPr>
        <w:pStyle w:val="ListParagraph"/>
        <w:numPr>
          <w:ilvl w:val="0"/>
          <w:numId w:val="27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i</w:t>
      </w:r>
      <w:r w:rsidR="00633553" w:rsidRPr="006E6C6D">
        <w:rPr>
          <w:rFonts w:ascii="Verdana" w:hAnsi="Verdana"/>
        </w:rPr>
        <w:t>dentifying ideas</w:t>
      </w:r>
    </w:p>
    <w:p w14:paraId="1CAE450D" w14:textId="349E6411" w:rsidR="002F75F5" w:rsidRPr="006E6C6D" w:rsidRDefault="25CD30C1" w:rsidP="007D262E">
      <w:pPr>
        <w:pStyle w:val="ListParagraph"/>
        <w:numPr>
          <w:ilvl w:val="0"/>
          <w:numId w:val="27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a</w:t>
      </w:r>
      <w:r w:rsidR="00633553" w:rsidRPr="006E6C6D">
        <w:rPr>
          <w:rFonts w:ascii="Verdana" w:hAnsi="Verdana"/>
        </w:rPr>
        <w:t>ssessing and prioritising</w:t>
      </w:r>
    </w:p>
    <w:p w14:paraId="0562BF07" w14:textId="3A4C9DF4" w:rsidR="00972F9E" w:rsidRPr="006E6C6D" w:rsidRDefault="41B62463" w:rsidP="007D262E">
      <w:pPr>
        <w:pStyle w:val="ListParagraph"/>
        <w:numPr>
          <w:ilvl w:val="0"/>
          <w:numId w:val="27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p</w:t>
      </w:r>
      <w:r w:rsidR="00633553" w:rsidRPr="006E6C6D">
        <w:rPr>
          <w:rFonts w:ascii="Verdana" w:hAnsi="Verdana"/>
        </w:rPr>
        <w:t>lanning and scoping</w:t>
      </w:r>
    </w:p>
    <w:p w14:paraId="425107AD" w14:textId="608B044E" w:rsidR="00972F9E" w:rsidRPr="006E6C6D" w:rsidRDefault="582642C4" w:rsidP="007D262E">
      <w:pPr>
        <w:pStyle w:val="ListParagraph"/>
        <w:numPr>
          <w:ilvl w:val="0"/>
          <w:numId w:val="27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d</w:t>
      </w:r>
      <w:r w:rsidR="002F75F5" w:rsidRPr="006E6C6D">
        <w:rPr>
          <w:rFonts w:ascii="Verdana" w:hAnsi="Verdana"/>
        </w:rPr>
        <w:t xml:space="preserve">elivery </w:t>
      </w:r>
      <w:r w:rsidR="00633553" w:rsidRPr="006E6C6D">
        <w:rPr>
          <w:rFonts w:ascii="Verdana" w:hAnsi="Verdana"/>
        </w:rPr>
        <w:t>r</w:t>
      </w:r>
      <w:r w:rsidR="002F75F5" w:rsidRPr="006E6C6D">
        <w:rPr>
          <w:rFonts w:ascii="Verdana" w:hAnsi="Verdana"/>
        </w:rPr>
        <w:t>eadiness</w:t>
      </w:r>
      <w:r w:rsidR="02B0F5BF" w:rsidRPr="006E6C6D">
        <w:rPr>
          <w:rFonts w:ascii="Verdana" w:hAnsi="Verdana"/>
        </w:rPr>
        <w:t>.</w:t>
      </w:r>
    </w:p>
    <w:p w14:paraId="297394DC" w14:textId="0E091A79" w:rsidR="00633553" w:rsidRPr="00633553" w:rsidRDefault="002F75F5" w:rsidP="00633553">
      <w:pPr>
        <w:spacing w:afterLines="80" w:after="192"/>
        <w:rPr>
          <w:rFonts w:ascii="Verdana" w:hAnsi="Verdana"/>
        </w:rPr>
      </w:pPr>
      <w:r w:rsidRPr="002F75F5">
        <w:rPr>
          <w:rFonts w:ascii="Verdana" w:hAnsi="Verdana"/>
        </w:rPr>
        <w:lastRenderedPageBreak/>
        <w:t>This staged approach enables Whaikaha to focus on a manageable number of high-impact initiatives—both short-term and long-term—at any given time. It also supports transparency and accountability, allowing the community to understand how decisions are made and how progress is tracked.</w:t>
      </w:r>
    </w:p>
    <w:p w14:paraId="75FF2971" w14:textId="1685E374" w:rsidR="00377241" w:rsidRPr="00A50303" w:rsidRDefault="007144A6" w:rsidP="003600D9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>Role of the AAG</w:t>
      </w:r>
    </w:p>
    <w:p w14:paraId="58E5D84C" w14:textId="783A80CA" w:rsidR="00377241" w:rsidRPr="00A50303" w:rsidRDefault="007144A6">
      <w:pPr>
        <w:rPr>
          <w:rFonts w:ascii="Verdana" w:hAnsi="Verdana"/>
        </w:rPr>
      </w:pPr>
      <w:r w:rsidRPr="00A50303">
        <w:rPr>
          <w:rFonts w:ascii="Verdana" w:hAnsi="Verdana"/>
        </w:rPr>
        <w:t>The AAG will</w:t>
      </w:r>
      <w:r w:rsidR="00633553">
        <w:rPr>
          <w:rFonts w:ascii="Verdana" w:hAnsi="Verdana"/>
        </w:rPr>
        <w:t xml:space="preserve"> work collaboratively to:</w:t>
      </w:r>
    </w:p>
    <w:p w14:paraId="04A7CC61" w14:textId="34FC8945" w:rsidR="00377241" w:rsidRPr="00EB3650" w:rsidRDefault="2BFE2865" w:rsidP="007D262E">
      <w:pPr>
        <w:pStyle w:val="ListParagraph"/>
        <w:numPr>
          <w:ilvl w:val="0"/>
          <w:numId w:val="35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EB3650">
        <w:rPr>
          <w:rFonts w:ascii="Verdana" w:hAnsi="Verdana"/>
        </w:rPr>
        <w:t>p</w:t>
      </w:r>
      <w:r w:rsidR="007144A6" w:rsidRPr="00EB3650">
        <w:rPr>
          <w:rFonts w:ascii="Verdana" w:hAnsi="Verdana"/>
        </w:rPr>
        <w:t>rovide practical</w:t>
      </w:r>
      <w:r w:rsidR="00BE7FE7" w:rsidRPr="00EB3650">
        <w:rPr>
          <w:rFonts w:ascii="Verdana" w:hAnsi="Verdana"/>
        </w:rPr>
        <w:t xml:space="preserve">, strategic and innovative </w:t>
      </w:r>
      <w:r w:rsidR="007144A6" w:rsidRPr="00EB3650">
        <w:rPr>
          <w:rFonts w:ascii="Verdana" w:hAnsi="Verdana"/>
        </w:rPr>
        <w:t>advice based on lived experience and strong community connections</w:t>
      </w:r>
    </w:p>
    <w:p w14:paraId="345866E0" w14:textId="7BBD3806" w:rsidR="00377241" w:rsidRPr="00EB3650" w:rsidRDefault="443DEFCD" w:rsidP="007D262E">
      <w:pPr>
        <w:pStyle w:val="ListParagraph"/>
        <w:numPr>
          <w:ilvl w:val="0"/>
          <w:numId w:val="35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EB3650">
        <w:rPr>
          <w:rFonts w:ascii="Verdana" w:hAnsi="Verdana"/>
        </w:rPr>
        <w:t>f</w:t>
      </w:r>
      <w:r w:rsidR="007144A6" w:rsidRPr="00EB3650">
        <w:rPr>
          <w:rFonts w:ascii="Verdana" w:hAnsi="Verdana"/>
        </w:rPr>
        <w:t xml:space="preserve">ocus on equity, </w:t>
      </w:r>
      <w:r w:rsidR="00BE7FE7" w:rsidRPr="00EB3650">
        <w:rPr>
          <w:rFonts w:ascii="Verdana" w:hAnsi="Verdana"/>
        </w:rPr>
        <w:t>particularly</w:t>
      </w:r>
      <w:r w:rsidR="007144A6" w:rsidRPr="00EB3650">
        <w:rPr>
          <w:rFonts w:ascii="Verdana" w:hAnsi="Verdana"/>
        </w:rPr>
        <w:t xml:space="preserve"> for tāngata whaikaha Māori and Turi Māori</w:t>
      </w:r>
    </w:p>
    <w:p w14:paraId="1788B89F" w14:textId="1F34B22C" w:rsidR="60B729B9" w:rsidRPr="00EB3650" w:rsidRDefault="14416ABD" w:rsidP="007D262E">
      <w:pPr>
        <w:pStyle w:val="ListParagraph"/>
        <w:numPr>
          <w:ilvl w:val="0"/>
          <w:numId w:val="35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EB3650">
        <w:rPr>
          <w:rFonts w:ascii="Verdana" w:hAnsi="Verdana"/>
        </w:rPr>
        <w:t>e</w:t>
      </w:r>
      <w:r w:rsidR="60B729B9" w:rsidRPr="00EB3650">
        <w:rPr>
          <w:rFonts w:ascii="Verdana" w:hAnsi="Verdana"/>
        </w:rPr>
        <w:t xml:space="preserve">nsure advice reflects Te </w:t>
      </w:r>
      <w:proofErr w:type="spellStart"/>
      <w:r w:rsidR="60B729B9" w:rsidRPr="00EB3650">
        <w:rPr>
          <w:rFonts w:ascii="Verdana" w:hAnsi="Verdana"/>
        </w:rPr>
        <w:t>Tiriti</w:t>
      </w:r>
      <w:proofErr w:type="spellEnd"/>
      <w:r w:rsidR="60B729B9" w:rsidRPr="00EB3650">
        <w:rPr>
          <w:rFonts w:ascii="Verdana" w:hAnsi="Verdana"/>
        </w:rPr>
        <w:t xml:space="preserve"> principles of partnership, protection and participation</w:t>
      </w:r>
    </w:p>
    <w:p w14:paraId="26BADEA8" w14:textId="0D48E9DF" w:rsidR="60B729B9" w:rsidRPr="00EB3650" w:rsidRDefault="7AA710D1" w:rsidP="007D262E">
      <w:pPr>
        <w:pStyle w:val="ListParagraph"/>
        <w:numPr>
          <w:ilvl w:val="0"/>
          <w:numId w:val="35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EB3650">
        <w:rPr>
          <w:rFonts w:ascii="Verdana" w:hAnsi="Verdana"/>
        </w:rPr>
        <w:t>e</w:t>
      </w:r>
      <w:r w:rsidR="1B1378AC" w:rsidRPr="00EB3650">
        <w:rPr>
          <w:rFonts w:ascii="Verdana" w:hAnsi="Verdana"/>
        </w:rPr>
        <w:t xml:space="preserve">mbed values </w:t>
      </w:r>
      <w:r w:rsidR="626C30F7" w:rsidRPr="00EB3650">
        <w:rPr>
          <w:rFonts w:ascii="Verdana" w:hAnsi="Verdana"/>
        </w:rPr>
        <w:t xml:space="preserve">in the way the </w:t>
      </w:r>
      <w:proofErr w:type="spellStart"/>
      <w:r w:rsidR="626C30F7" w:rsidRPr="00EB3650">
        <w:rPr>
          <w:rFonts w:ascii="Verdana" w:hAnsi="Verdana"/>
        </w:rPr>
        <w:t>rōpū</w:t>
      </w:r>
      <w:proofErr w:type="spellEnd"/>
      <w:r w:rsidR="626C30F7" w:rsidRPr="00EB3650">
        <w:rPr>
          <w:rFonts w:ascii="Verdana" w:hAnsi="Verdana"/>
        </w:rPr>
        <w:t xml:space="preserve"> works together, </w:t>
      </w:r>
      <w:r w:rsidR="1B1378AC" w:rsidRPr="00EB3650">
        <w:rPr>
          <w:rFonts w:ascii="Verdana" w:hAnsi="Verdana"/>
        </w:rPr>
        <w:t xml:space="preserve">such as </w:t>
      </w:r>
      <w:r w:rsidR="00903404" w:rsidRPr="00EB3650">
        <w:rPr>
          <w:rFonts w:ascii="Verdana" w:hAnsi="Verdana"/>
        </w:rPr>
        <w:t>M</w:t>
      </w:r>
      <w:r w:rsidR="0006153F" w:rsidRPr="00EB3650">
        <w:rPr>
          <w:rFonts w:ascii="Verdana" w:hAnsi="Verdana"/>
        </w:rPr>
        <w:t xml:space="preserve">ana </w:t>
      </w:r>
      <w:proofErr w:type="spellStart"/>
      <w:r w:rsidR="0006153F" w:rsidRPr="00EB3650">
        <w:rPr>
          <w:rFonts w:ascii="Verdana" w:hAnsi="Verdana"/>
        </w:rPr>
        <w:t>taurite</w:t>
      </w:r>
      <w:proofErr w:type="spellEnd"/>
      <w:r w:rsidR="00903404" w:rsidRPr="00EB3650">
        <w:rPr>
          <w:rFonts w:ascii="Verdana" w:hAnsi="Verdana"/>
        </w:rPr>
        <w:t xml:space="preserve"> -</w:t>
      </w:r>
      <w:r w:rsidR="006157CC" w:rsidRPr="00EB3650">
        <w:rPr>
          <w:rFonts w:ascii="Verdana" w:hAnsi="Verdana"/>
        </w:rPr>
        <w:t>E</w:t>
      </w:r>
      <w:r w:rsidR="0006153F" w:rsidRPr="00EB3650">
        <w:rPr>
          <w:rFonts w:ascii="Verdana" w:hAnsi="Verdana"/>
        </w:rPr>
        <w:t>quity drives us</w:t>
      </w:r>
      <w:r w:rsidR="00903404" w:rsidRPr="00EB3650">
        <w:rPr>
          <w:rFonts w:ascii="Verdana" w:hAnsi="Verdana"/>
        </w:rPr>
        <w:t>,</w:t>
      </w:r>
      <w:r w:rsidR="0006153F" w:rsidRPr="00EB3650">
        <w:rPr>
          <w:rFonts w:ascii="Verdana" w:hAnsi="Verdana"/>
        </w:rPr>
        <w:t xml:space="preserve"> </w:t>
      </w:r>
      <w:r w:rsidR="00903404" w:rsidRPr="00EB3650">
        <w:rPr>
          <w:rFonts w:ascii="Verdana" w:hAnsi="Verdana"/>
        </w:rPr>
        <w:t>M</w:t>
      </w:r>
      <w:r w:rsidR="0006153F" w:rsidRPr="00EB3650">
        <w:rPr>
          <w:rFonts w:ascii="Verdana" w:hAnsi="Verdana"/>
        </w:rPr>
        <w:t>ana kaha</w:t>
      </w:r>
      <w:r w:rsidR="00903404" w:rsidRPr="00EB3650">
        <w:rPr>
          <w:rFonts w:ascii="Verdana" w:hAnsi="Verdana"/>
        </w:rPr>
        <w:t xml:space="preserve"> - </w:t>
      </w:r>
      <w:r w:rsidR="006157CC" w:rsidRPr="00EB3650">
        <w:rPr>
          <w:rFonts w:ascii="Verdana" w:hAnsi="Verdana"/>
        </w:rPr>
        <w:t>W</w:t>
      </w:r>
      <w:r w:rsidR="0006153F" w:rsidRPr="00EB3650">
        <w:rPr>
          <w:rFonts w:ascii="Verdana" w:hAnsi="Verdana"/>
        </w:rPr>
        <w:t>e strengthen and support</w:t>
      </w:r>
      <w:r w:rsidR="37DD4611" w:rsidRPr="00EB3650">
        <w:rPr>
          <w:rFonts w:ascii="Verdana" w:eastAsia="Verdana" w:hAnsi="Verdana" w:cs="Verdana"/>
          <w:color w:val="333333"/>
        </w:rPr>
        <w:t>,</w:t>
      </w:r>
      <w:r w:rsidR="0006153F" w:rsidRPr="00EB3650">
        <w:rPr>
          <w:rFonts w:ascii="Verdana" w:hAnsi="Verdana"/>
        </w:rPr>
        <w:t xml:space="preserve"> and </w:t>
      </w:r>
      <w:r w:rsidR="006157CC" w:rsidRPr="00EB3650">
        <w:rPr>
          <w:rFonts w:ascii="Verdana" w:hAnsi="Verdana"/>
        </w:rPr>
        <w:t>M</w:t>
      </w:r>
      <w:r w:rsidR="0006153F" w:rsidRPr="00EB3650">
        <w:rPr>
          <w:rFonts w:ascii="Verdana" w:hAnsi="Verdana"/>
        </w:rPr>
        <w:t xml:space="preserve">ana </w:t>
      </w:r>
      <w:proofErr w:type="spellStart"/>
      <w:r w:rsidR="0006153F" w:rsidRPr="00EB3650">
        <w:rPr>
          <w:rFonts w:ascii="Verdana" w:hAnsi="Verdana"/>
        </w:rPr>
        <w:t>tūhura</w:t>
      </w:r>
      <w:proofErr w:type="spellEnd"/>
      <w:r w:rsidR="0006153F" w:rsidRPr="00EB3650">
        <w:rPr>
          <w:rFonts w:ascii="Verdana" w:hAnsi="Verdana"/>
        </w:rPr>
        <w:t xml:space="preserve"> </w:t>
      </w:r>
      <w:r w:rsidR="006157CC" w:rsidRPr="00EB3650">
        <w:rPr>
          <w:rFonts w:ascii="Verdana" w:hAnsi="Verdana"/>
        </w:rPr>
        <w:t>- W</w:t>
      </w:r>
      <w:r w:rsidR="0006153F" w:rsidRPr="00EB3650">
        <w:rPr>
          <w:rFonts w:ascii="Verdana" w:hAnsi="Verdana"/>
        </w:rPr>
        <w:t>e explore and learn</w:t>
      </w:r>
    </w:p>
    <w:p w14:paraId="56367CE4" w14:textId="6D074F9B" w:rsidR="00377241" w:rsidRPr="00EB3650" w:rsidRDefault="665B09F3" w:rsidP="007D262E">
      <w:pPr>
        <w:pStyle w:val="ListParagraph"/>
        <w:numPr>
          <w:ilvl w:val="0"/>
          <w:numId w:val="35"/>
        </w:numPr>
        <w:spacing w:before="120" w:after="120"/>
        <w:ind w:left="714" w:hanging="357"/>
        <w:contextualSpacing w:val="0"/>
        <w:rPr>
          <w:rFonts w:ascii="Verdana" w:eastAsia="Verdana" w:hAnsi="Verdana" w:cs="Verdana"/>
        </w:rPr>
      </w:pPr>
      <w:r w:rsidRPr="00EB3650">
        <w:rPr>
          <w:rFonts w:ascii="Verdana" w:eastAsia="Verdana" w:hAnsi="Verdana" w:cs="Verdana"/>
        </w:rPr>
        <w:t>s</w:t>
      </w:r>
      <w:r w:rsidR="007144A6" w:rsidRPr="00EB3650">
        <w:rPr>
          <w:rFonts w:ascii="Verdana" w:eastAsia="Verdana" w:hAnsi="Verdana" w:cs="Verdana"/>
        </w:rPr>
        <w:t>hare expertise and leadership.</w:t>
      </w:r>
    </w:p>
    <w:p w14:paraId="08E4E388" w14:textId="77777777" w:rsidR="00F77060" w:rsidRDefault="00F77060" w:rsidP="00F77060">
      <w:pPr>
        <w:pStyle w:val="ListParagraph"/>
        <w:spacing w:after="80"/>
        <w:ind w:left="714" w:hanging="357"/>
        <w:rPr>
          <w:rFonts w:ascii="Verdana" w:hAnsi="Verdana"/>
        </w:rPr>
      </w:pPr>
    </w:p>
    <w:p w14:paraId="7EE3A717" w14:textId="36788FE8" w:rsidR="64D0C8BE" w:rsidRPr="00F77060" w:rsidRDefault="0EF6C178" w:rsidP="00540983">
      <w:pPr>
        <w:pStyle w:val="ListParagraph"/>
        <w:spacing w:after="80"/>
        <w:ind w:left="0"/>
      </w:pPr>
      <w:r w:rsidRPr="2F964B79">
        <w:rPr>
          <w:rFonts w:ascii="Verdana" w:hAnsi="Verdana"/>
        </w:rPr>
        <w:t xml:space="preserve">This </w:t>
      </w:r>
      <w:proofErr w:type="spellStart"/>
      <w:r w:rsidRPr="2F964B79">
        <w:rPr>
          <w:rFonts w:ascii="Verdana" w:hAnsi="Verdana"/>
        </w:rPr>
        <w:t>rōpū</w:t>
      </w:r>
      <w:proofErr w:type="spellEnd"/>
      <w:r w:rsidRPr="2F964B79">
        <w:rPr>
          <w:rFonts w:ascii="Verdana" w:hAnsi="Verdana"/>
        </w:rPr>
        <w:t xml:space="preserve"> will uphold Te </w:t>
      </w:r>
      <w:proofErr w:type="spellStart"/>
      <w:r w:rsidRPr="2F964B79">
        <w:rPr>
          <w:rFonts w:ascii="Verdana" w:hAnsi="Verdana"/>
        </w:rPr>
        <w:t>Tiriti</w:t>
      </w:r>
      <w:proofErr w:type="spellEnd"/>
      <w:r w:rsidRPr="2F964B79">
        <w:rPr>
          <w:rFonts w:ascii="Verdana" w:hAnsi="Verdana"/>
        </w:rPr>
        <w:t xml:space="preserve"> o Waitangi and Māori-Crown partnership ensuring that the voices of tāngata whaikaha Māori and Turi Māori are central to shaping accessibility in Aotearoa</w:t>
      </w:r>
      <w:r w:rsidR="01F17F0A" w:rsidRPr="2F964B79">
        <w:rPr>
          <w:rFonts w:ascii="Verdana" w:hAnsi="Verdana"/>
        </w:rPr>
        <w:t xml:space="preserve"> New Zealand</w:t>
      </w:r>
      <w:r w:rsidRPr="2F964B79">
        <w:rPr>
          <w:rFonts w:ascii="Verdana" w:hAnsi="Verdana"/>
        </w:rPr>
        <w:t>.</w:t>
      </w:r>
    </w:p>
    <w:p w14:paraId="0366A275" w14:textId="14ED1D77" w:rsidR="00BE7FE7" w:rsidRPr="00BE7FE7" w:rsidRDefault="00BE7FE7" w:rsidP="00BE7FE7">
      <w:pPr>
        <w:spacing w:afterLines="80" w:after="192"/>
        <w:rPr>
          <w:rFonts w:ascii="Verdana" w:hAnsi="Verdana"/>
        </w:rPr>
      </w:pPr>
      <w:r w:rsidRPr="00BE7FE7">
        <w:rPr>
          <w:rFonts w:ascii="Verdana" w:hAnsi="Verdana"/>
        </w:rPr>
        <w:t xml:space="preserve">For the avoidance of doubt, the AAG is an advisory group and does not hold decision making rights. All final decisions will be </w:t>
      </w:r>
      <w:r w:rsidR="71C20FC1" w:rsidRPr="320EFB8A">
        <w:rPr>
          <w:rFonts w:ascii="Verdana" w:hAnsi="Verdana"/>
        </w:rPr>
        <w:t>made</w:t>
      </w:r>
      <w:r w:rsidRPr="00BE7FE7">
        <w:rPr>
          <w:rFonts w:ascii="Verdana" w:hAnsi="Verdana"/>
        </w:rPr>
        <w:t xml:space="preserve"> by the Ministry.</w:t>
      </w:r>
    </w:p>
    <w:p w14:paraId="6B2DDFBD" w14:textId="77777777" w:rsidR="00377241" w:rsidRPr="00A50303" w:rsidRDefault="007144A6" w:rsidP="003600D9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>Scope</w:t>
      </w:r>
    </w:p>
    <w:p w14:paraId="59ED3F4F" w14:textId="77777777" w:rsidR="00377241" w:rsidRPr="00A50303" w:rsidRDefault="007144A6">
      <w:pPr>
        <w:rPr>
          <w:rFonts w:ascii="Verdana" w:hAnsi="Verdana"/>
        </w:rPr>
      </w:pPr>
      <w:r w:rsidRPr="00A50303">
        <w:rPr>
          <w:rFonts w:ascii="Verdana" w:hAnsi="Verdana"/>
        </w:rPr>
        <w:t>The AAG will:</w:t>
      </w:r>
    </w:p>
    <w:p w14:paraId="7DA29808" w14:textId="06894892" w:rsidR="00377241" w:rsidRPr="006E6C6D" w:rsidRDefault="295D4E41" w:rsidP="007D262E">
      <w:pPr>
        <w:pStyle w:val="ListParagraph"/>
        <w:numPr>
          <w:ilvl w:val="0"/>
          <w:numId w:val="28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c</w:t>
      </w:r>
      <w:r w:rsidR="007144A6" w:rsidRPr="006E6C6D">
        <w:rPr>
          <w:rFonts w:ascii="Verdana" w:hAnsi="Verdana"/>
        </w:rPr>
        <w:t xml:space="preserve">ollaborate on priorities and </w:t>
      </w:r>
      <w:r w:rsidR="00BE7FE7" w:rsidRPr="006E6C6D">
        <w:rPr>
          <w:rFonts w:ascii="Verdana" w:hAnsi="Verdana"/>
        </w:rPr>
        <w:t xml:space="preserve">support </w:t>
      </w:r>
      <w:r w:rsidR="007144A6" w:rsidRPr="006E6C6D">
        <w:rPr>
          <w:rFonts w:ascii="Verdana" w:hAnsi="Verdana"/>
        </w:rPr>
        <w:t>key projects</w:t>
      </w:r>
    </w:p>
    <w:p w14:paraId="61AF5F0B" w14:textId="7F1524C3" w:rsidR="00377241" w:rsidRPr="006E6C6D" w:rsidRDefault="0FD34D6A" w:rsidP="007D262E">
      <w:pPr>
        <w:pStyle w:val="ListParagraph"/>
        <w:numPr>
          <w:ilvl w:val="0"/>
          <w:numId w:val="28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s</w:t>
      </w:r>
      <w:r w:rsidR="007144A6" w:rsidRPr="006E6C6D">
        <w:rPr>
          <w:rFonts w:ascii="Verdana" w:hAnsi="Verdana"/>
        </w:rPr>
        <w:t>hare knowledge to support strategic decisions</w:t>
      </w:r>
    </w:p>
    <w:p w14:paraId="1FDE17D1" w14:textId="663BCBB3" w:rsidR="00377241" w:rsidRPr="006E6C6D" w:rsidRDefault="77595276" w:rsidP="007D262E">
      <w:pPr>
        <w:pStyle w:val="ListParagraph"/>
        <w:numPr>
          <w:ilvl w:val="0"/>
          <w:numId w:val="28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c</w:t>
      </w:r>
      <w:r w:rsidR="007144A6" w:rsidRPr="006E6C6D">
        <w:rPr>
          <w:rFonts w:ascii="Verdana" w:hAnsi="Verdana"/>
        </w:rPr>
        <w:t>onnect with relevant groups and experts</w:t>
      </w:r>
    </w:p>
    <w:p w14:paraId="188FA00B" w14:textId="1EE3F04A" w:rsidR="4C7CDCC0" w:rsidRPr="006E6C6D" w:rsidRDefault="4C7CDCC0" w:rsidP="007D262E">
      <w:pPr>
        <w:pStyle w:val="ListParagraph"/>
        <w:numPr>
          <w:ilvl w:val="0"/>
          <w:numId w:val="28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r</w:t>
      </w:r>
      <w:r w:rsidR="007144A6" w:rsidRPr="006E6C6D">
        <w:rPr>
          <w:rFonts w:ascii="Verdana" w:hAnsi="Verdana"/>
        </w:rPr>
        <w:t>eview and contribute to project plans</w:t>
      </w:r>
    </w:p>
    <w:p w14:paraId="5AC5B116" w14:textId="08D3BA14" w:rsidR="32EC3154" w:rsidRPr="006E6C6D" w:rsidRDefault="2F3BE504" w:rsidP="007D262E">
      <w:pPr>
        <w:pStyle w:val="ListParagraph"/>
        <w:numPr>
          <w:ilvl w:val="0"/>
          <w:numId w:val="28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a</w:t>
      </w:r>
      <w:r w:rsidR="74C02422" w:rsidRPr="006E6C6D">
        <w:rPr>
          <w:rFonts w:ascii="Verdana" w:hAnsi="Verdana"/>
        </w:rPr>
        <w:t>s</w:t>
      </w:r>
      <w:r w:rsidR="6C2A50BD" w:rsidRPr="006E6C6D">
        <w:rPr>
          <w:rFonts w:ascii="Verdana" w:hAnsi="Verdana"/>
        </w:rPr>
        <w:t xml:space="preserve"> appropriate, the </w:t>
      </w:r>
      <w:proofErr w:type="spellStart"/>
      <w:r w:rsidR="5CBD4DA0" w:rsidRPr="006E6C6D">
        <w:rPr>
          <w:rFonts w:ascii="Verdana" w:hAnsi="Verdana"/>
        </w:rPr>
        <w:t>rōpū</w:t>
      </w:r>
      <w:proofErr w:type="spellEnd"/>
      <w:r w:rsidR="6C2A50BD" w:rsidRPr="006E6C6D">
        <w:rPr>
          <w:rFonts w:ascii="Verdana" w:hAnsi="Verdana"/>
        </w:rPr>
        <w:t xml:space="preserve"> will support approaches grounded in </w:t>
      </w:r>
      <w:proofErr w:type="spellStart"/>
      <w:r w:rsidR="6C2A50BD" w:rsidRPr="006E6C6D">
        <w:rPr>
          <w:rFonts w:ascii="Verdana" w:hAnsi="Verdana"/>
        </w:rPr>
        <w:t>kaupapa</w:t>
      </w:r>
      <w:proofErr w:type="spellEnd"/>
      <w:r w:rsidR="6C2A50BD" w:rsidRPr="006E6C6D">
        <w:rPr>
          <w:rFonts w:ascii="Verdana" w:hAnsi="Verdana"/>
        </w:rPr>
        <w:t xml:space="preserve"> Māori and </w:t>
      </w:r>
      <w:proofErr w:type="spellStart"/>
      <w:r w:rsidR="6C2A50BD" w:rsidRPr="006E6C6D">
        <w:rPr>
          <w:rFonts w:ascii="Verdana" w:hAnsi="Verdana"/>
        </w:rPr>
        <w:t>mātauranga</w:t>
      </w:r>
      <w:proofErr w:type="spellEnd"/>
      <w:r w:rsidR="6C2A50BD" w:rsidRPr="006E6C6D">
        <w:rPr>
          <w:rFonts w:ascii="Verdana" w:hAnsi="Verdana"/>
        </w:rPr>
        <w:t xml:space="preserve"> Māori as pathways to improved accessibility outcomes. </w:t>
      </w:r>
    </w:p>
    <w:p w14:paraId="0D6448BB" w14:textId="77777777" w:rsidR="00377241" w:rsidRPr="00A50303" w:rsidRDefault="007144A6" w:rsidP="003600D9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>Membership</w:t>
      </w:r>
    </w:p>
    <w:p w14:paraId="5B46EAED" w14:textId="233D0104" w:rsidR="00377241" w:rsidRPr="00C20864" w:rsidRDefault="045B2FE2" w:rsidP="004B145E">
      <w:pPr>
        <w:rPr>
          <w:rFonts w:ascii="Verdana" w:hAnsi="Verdana"/>
          <w:lang w:val="en-NZ"/>
        </w:rPr>
      </w:pPr>
      <w:r w:rsidRPr="1A4F2247">
        <w:rPr>
          <w:rFonts w:ascii="Verdana" w:hAnsi="Verdana"/>
        </w:rPr>
        <w:t xml:space="preserve">The </w:t>
      </w:r>
      <w:proofErr w:type="spellStart"/>
      <w:r w:rsidR="6A1F09AB" w:rsidRPr="320EFB8A">
        <w:rPr>
          <w:rFonts w:ascii="Verdana" w:hAnsi="Verdana"/>
        </w:rPr>
        <w:t>rōpū</w:t>
      </w:r>
      <w:proofErr w:type="spellEnd"/>
      <w:r w:rsidRPr="1A4F2247">
        <w:rPr>
          <w:rFonts w:ascii="Verdana" w:hAnsi="Verdana"/>
        </w:rPr>
        <w:t xml:space="preserve"> will include </w:t>
      </w:r>
      <w:r w:rsidR="008374C6">
        <w:rPr>
          <w:rFonts w:ascii="Verdana" w:hAnsi="Verdana"/>
        </w:rPr>
        <w:t>up to ten</w:t>
      </w:r>
      <w:r w:rsidRPr="1A4F2247">
        <w:rPr>
          <w:rFonts w:ascii="Verdana" w:hAnsi="Verdana"/>
        </w:rPr>
        <w:t xml:space="preserve"> members from the disability community, representing:</w:t>
      </w:r>
    </w:p>
    <w:p w14:paraId="4AAF5A64" w14:textId="3C0D6E97" w:rsidR="00377241" w:rsidRPr="006E6C6D" w:rsidRDefault="189783C1" w:rsidP="007D262E">
      <w:pPr>
        <w:pStyle w:val="ListParagraph"/>
        <w:numPr>
          <w:ilvl w:val="0"/>
          <w:numId w:val="29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lastRenderedPageBreak/>
        <w:t>a</w:t>
      </w:r>
      <w:r w:rsidR="00BE7FE7" w:rsidRPr="006E6C6D">
        <w:rPr>
          <w:rFonts w:ascii="Verdana" w:hAnsi="Verdana"/>
        </w:rPr>
        <w:t xml:space="preserve"> range of disabled people, tāngata whaikaha Māori, Turi Māori, Pacific peoples, neurodivergent individuals, the Deaf community, family, whānau</w:t>
      </w:r>
    </w:p>
    <w:p w14:paraId="57107467" w14:textId="5212C25A" w:rsidR="00377241" w:rsidRPr="006E6C6D" w:rsidRDefault="557F47A3" w:rsidP="007D262E">
      <w:pPr>
        <w:pStyle w:val="ListParagraph"/>
        <w:numPr>
          <w:ilvl w:val="0"/>
          <w:numId w:val="29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a</w:t>
      </w:r>
      <w:r w:rsidR="007144A6" w:rsidRPr="006E6C6D">
        <w:rPr>
          <w:rFonts w:ascii="Verdana" w:hAnsi="Verdana"/>
        </w:rPr>
        <w:t xml:space="preserve"> </w:t>
      </w:r>
      <w:r w:rsidR="00BE7FE7" w:rsidRPr="006E6C6D">
        <w:rPr>
          <w:rFonts w:ascii="Verdana" w:hAnsi="Verdana"/>
        </w:rPr>
        <w:t>diversity</w:t>
      </w:r>
      <w:r w:rsidR="007144A6" w:rsidRPr="006E6C6D">
        <w:rPr>
          <w:rFonts w:ascii="Verdana" w:hAnsi="Verdana"/>
        </w:rPr>
        <w:t xml:space="preserve"> of cultures, regions, disabilities, </w:t>
      </w:r>
      <w:r w:rsidR="004B145E" w:rsidRPr="006E6C6D">
        <w:rPr>
          <w:rFonts w:ascii="Verdana" w:hAnsi="Verdana"/>
        </w:rPr>
        <w:t xml:space="preserve">ages, genders </w:t>
      </w:r>
      <w:r w:rsidR="007144A6" w:rsidRPr="006E6C6D">
        <w:rPr>
          <w:rFonts w:ascii="Verdana" w:hAnsi="Verdana"/>
        </w:rPr>
        <w:t xml:space="preserve">and </w:t>
      </w:r>
      <w:r w:rsidR="004B145E" w:rsidRPr="006E6C6D">
        <w:rPr>
          <w:rFonts w:ascii="Verdana" w:hAnsi="Verdana"/>
        </w:rPr>
        <w:t>identities.</w:t>
      </w:r>
    </w:p>
    <w:p w14:paraId="2D4E6C49" w14:textId="578BB68E" w:rsidR="00377241" w:rsidRPr="00A50303" w:rsidRDefault="007144A6" w:rsidP="001C65C3">
      <w:pPr>
        <w:spacing w:after="80"/>
        <w:rPr>
          <w:rFonts w:ascii="Verdana" w:hAnsi="Verdana"/>
        </w:rPr>
      </w:pPr>
      <w:r w:rsidRPr="00A50303">
        <w:rPr>
          <w:rFonts w:ascii="Verdana" w:hAnsi="Verdana"/>
        </w:rPr>
        <w:t>Members must understand and support:</w:t>
      </w:r>
    </w:p>
    <w:p w14:paraId="68B6E4CE" w14:textId="12832473" w:rsidR="004B145E" w:rsidRPr="006E6C6D" w:rsidRDefault="007144A6" w:rsidP="007D262E">
      <w:pPr>
        <w:pStyle w:val="ListParagraph"/>
        <w:numPr>
          <w:ilvl w:val="0"/>
          <w:numId w:val="30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 xml:space="preserve">Te </w:t>
      </w:r>
      <w:proofErr w:type="spellStart"/>
      <w:r w:rsidRPr="006E6C6D">
        <w:rPr>
          <w:rFonts w:ascii="Verdana" w:hAnsi="Verdana"/>
        </w:rPr>
        <w:t>Tiriti</w:t>
      </w:r>
      <w:proofErr w:type="spellEnd"/>
      <w:r w:rsidRPr="006E6C6D">
        <w:rPr>
          <w:rFonts w:ascii="Verdana" w:hAnsi="Verdana"/>
        </w:rPr>
        <w:t xml:space="preserve"> o Waitangi and Māori–Crown relationships</w:t>
      </w:r>
    </w:p>
    <w:p w14:paraId="2EDC9F65" w14:textId="0EC620B7" w:rsidR="004B145E" w:rsidRPr="006E6C6D" w:rsidRDefault="3ADCF940" w:rsidP="007D262E">
      <w:pPr>
        <w:pStyle w:val="ListParagraph"/>
        <w:numPr>
          <w:ilvl w:val="0"/>
          <w:numId w:val="30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t</w:t>
      </w:r>
      <w:r w:rsidR="004B145E" w:rsidRPr="006E6C6D">
        <w:rPr>
          <w:rFonts w:ascii="Verdana" w:hAnsi="Verdana"/>
        </w:rPr>
        <w:t>he United Nations Convention on the Rights of Persons with Disabilities (UNCRPD).</w:t>
      </w:r>
    </w:p>
    <w:p w14:paraId="4E661FC8" w14:textId="73BF7C03" w:rsidR="00377241" w:rsidRDefault="007144A6">
      <w:pPr>
        <w:rPr>
          <w:rFonts w:ascii="Verdana" w:hAnsi="Verdana"/>
        </w:rPr>
      </w:pPr>
      <w:r w:rsidRPr="00A50303">
        <w:rPr>
          <w:rFonts w:ascii="Verdana" w:hAnsi="Verdana"/>
        </w:rPr>
        <w:t>Members will be selected through an Expression of Interest (E</w:t>
      </w:r>
      <w:r w:rsidR="001C65C3">
        <w:rPr>
          <w:rFonts w:ascii="Verdana" w:hAnsi="Verdana"/>
        </w:rPr>
        <w:t>o</w:t>
      </w:r>
      <w:r w:rsidRPr="00A50303">
        <w:rPr>
          <w:rFonts w:ascii="Verdana" w:hAnsi="Verdana"/>
        </w:rPr>
        <w:t>I) process, overseen by a</w:t>
      </w:r>
      <w:r w:rsidR="00972F9E">
        <w:rPr>
          <w:rFonts w:ascii="Verdana" w:hAnsi="Verdana"/>
        </w:rPr>
        <w:t xml:space="preserve"> selection</w:t>
      </w:r>
      <w:r w:rsidRPr="00A50303">
        <w:rPr>
          <w:rFonts w:ascii="Verdana" w:hAnsi="Verdana"/>
        </w:rPr>
        <w:t xml:space="preserve"> panel</w:t>
      </w:r>
      <w:r w:rsidR="003600D9">
        <w:rPr>
          <w:rFonts w:ascii="Verdana" w:hAnsi="Verdana"/>
        </w:rPr>
        <w:t>.</w:t>
      </w:r>
    </w:p>
    <w:p w14:paraId="3EDE2D79" w14:textId="2DDD969D" w:rsidR="00377241" w:rsidRPr="00A50303" w:rsidRDefault="007144A6" w:rsidP="003600D9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 xml:space="preserve">Selection </w:t>
      </w:r>
      <w:r w:rsidR="004B145E">
        <w:rPr>
          <w:rFonts w:ascii="Verdana" w:hAnsi="Verdana"/>
          <w:color w:val="auto"/>
        </w:rPr>
        <w:t>p</w:t>
      </w:r>
      <w:r w:rsidRPr="00A50303">
        <w:rPr>
          <w:rFonts w:ascii="Verdana" w:hAnsi="Verdana"/>
          <w:color w:val="auto"/>
        </w:rPr>
        <w:t>rocess</w:t>
      </w:r>
    </w:p>
    <w:p w14:paraId="4A8B79C9" w14:textId="16336CE5" w:rsidR="004B145E" w:rsidRPr="004B145E" w:rsidRDefault="004B145E" w:rsidP="004B145E">
      <w:pPr>
        <w:rPr>
          <w:rFonts w:ascii="Verdana" w:hAnsi="Verdana"/>
        </w:rPr>
      </w:pPr>
      <w:r w:rsidRPr="004B145E">
        <w:rPr>
          <w:rFonts w:ascii="Verdana" w:hAnsi="Verdana"/>
        </w:rPr>
        <w:t xml:space="preserve">Expressions of Interest </w:t>
      </w:r>
      <w:r w:rsidR="003600D9">
        <w:rPr>
          <w:rFonts w:ascii="Verdana" w:hAnsi="Verdana"/>
        </w:rPr>
        <w:t xml:space="preserve">(EoI) </w:t>
      </w:r>
      <w:r w:rsidRPr="004B145E">
        <w:rPr>
          <w:rFonts w:ascii="Verdana" w:hAnsi="Verdana"/>
        </w:rPr>
        <w:t>will be invited through a public call</w:t>
      </w:r>
      <w:r w:rsidR="003600D9">
        <w:rPr>
          <w:rFonts w:ascii="Verdana" w:hAnsi="Verdana"/>
        </w:rPr>
        <w:t xml:space="preserve"> out.</w:t>
      </w:r>
    </w:p>
    <w:p w14:paraId="419F1FCD" w14:textId="10B4897F" w:rsidR="004B145E" w:rsidRPr="004B145E" w:rsidRDefault="004B145E" w:rsidP="004B145E">
      <w:pPr>
        <w:rPr>
          <w:rFonts w:ascii="Verdana" w:hAnsi="Verdana"/>
        </w:rPr>
      </w:pPr>
      <w:r w:rsidRPr="2F964B79">
        <w:rPr>
          <w:rFonts w:ascii="Verdana" w:hAnsi="Verdana"/>
        </w:rPr>
        <w:t>Applications will be reviewed by a selection panel</w:t>
      </w:r>
      <w:r w:rsidR="003600D9" w:rsidRPr="2F964B79">
        <w:rPr>
          <w:rFonts w:ascii="Verdana" w:hAnsi="Verdana"/>
        </w:rPr>
        <w:t xml:space="preserve">. This panel may include </w:t>
      </w:r>
      <w:r w:rsidRPr="2F964B79">
        <w:rPr>
          <w:rFonts w:ascii="Verdana" w:hAnsi="Verdana"/>
        </w:rPr>
        <w:t xml:space="preserve">representatives </w:t>
      </w:r>
      <w:r w:rsidR="77D6C745" w:rsidRPr="2F964B79">
        <w:rPr>
          <w:rFonts w:ascii="Verdana" w:hAnsi="Verdana"/>
        </w:rPr>
        <w:t xml:space="preserve">of </w:t>
      </w:r>
      <w:r w:rsidR="003600D9" w:rsidRPr="2F964B79">
        <w:rPr>
          <w:rFonts w:ascii="Verdana" w:hAnsi="Verdana"/>
        </w:rPr>
        <w:t>key</w:t>
      </w:r>
      <w:r w:rsidR="7B3EA83F" w:rsidRPr="2F964B79">
        <w:rPr>
          <w:rFonts w:ascii="Verdana" w:hAnsi="Verdana"/>
        </w:rPr>
        <w:t xml:space="preserve"> disability</w:t>
      </w:r>
      <w:r w:rsidR="003600D9" w:rsidRPr="2F964B79">
        <w:rPr>
          <w:rFonts w:ascii="Verdana" w:hAnsi="Verdana"/>
        </w:rPr>
        <w:t xml:space="preserve"> </w:t>
      </w:r>
      <w:r w:rsidR="6593FA47" w:rsidRPr="2F964B79">
        <w:rPr>
          <w:rFonts w:ascii="Verdana" w:hAnsi="Verdana"/>
        </w:rPr>
        <w:t xml:space="preserve">community </w:t>
      </w:r>
      <w:r w:rsidR="003600D9" w:rsidRPr="2F964B79">
        <w:rPr>
          <w:rFonts w:ascii="Verdana" w:hAnsi="Verdana"/>
        </w:rPr>
        <w:t>organisations</w:t>
      </w:r>
      <w:r w:rsidR="001C65C3" w:rsidRPr="2F964B79">
        <w:rPr>
          <w:rFonts w:ascii="Verdana" w:hAnsi="Verdana"/>
        </w:rPr>
        <w:t xml:space="preserve">. </w:t>
      </w:r>
      <w:r w:rsidR="003600D9" w:rsidRPr="2F964B79">
        <w:rPr>
          <w:rFonts w:ascii="Verdana" w:hAnsi="Verdana"/>
        </w:rPr>
        <w:t>It will include t</w:t>
      </w:r>
      <w:r w:rsidRPr="2F964B79">
        <w:rPr>
          <w:rFonts w:ascii="Verdana" w:hAnsi="Verdana"/>
        </w:rPr>
        <w:t>āngata whaikaha Māori</w:t>
      </w:r>
      <w:r w:rsidR="003600D9" w:rsidRPr="2F964B79">
        <w:rPr>
          <w:rFonts w:ascii="Verdana" w:hAnsi="Verdana"/>
        </w:rPr>
        <w:t xml:space="preserve"> representation and be chaired by Whaikaha. </w:t>
      </w:r>
    </w:p>
    <w:p w14:paraId="10012B8B" w14:textId="2C09D202" w:rsidR="004B145E" w:rsidRPr="004B145E" w:rsidRDefault="00972F9E" w:rsidP="004B145E">
      <w:pPr>
        <w:rPr>
          <w:rFonts w:ascii="Verdana" w:hAnsi="Verdana"/>
        </w:rPr>
      </w:pPr>
      <w:r>
        <w:rPr>
          <w:rFonts w:ascii="Verdana" w:hAnsi="Verdana"/>
        </w:rPr>
        <w:t>Applications will be accessed</w:t>
      </w:r>
      <w:r w:rsidR="004B145E" w:rsidRPr="004B145E">
        <w:rPr>
          <w:rFonts w:ascii="Verdana" w:hAnsi="Verdana"/>
        </w:rPr>
        <w:t xml:space="preserve"> against agreed criteria, with a strong focus on diversity and expertise in accessibility.</w:t>
      </w:r>
    </w:p>
    <w:p w14:paraId="17F02A32" w14:textId="1F799737" w:rsidR="004B145E" w:rsidRPr="003600D9" w:rsidRDefault="003600D9" w:rsidP="003600D9">
      <w:pPr>
        <w:pStyle w:val="Heading2"/>
        <w:spacing w:afterLines="40" w:after="96"/>
        <w:rPr>
          <w:rFonts w:ascii="Verdana" w:hAnsi="Verdana"/>
          <w:color w:val="auto"/>
        </w:rPr>
      </w:pPr>
      <w:r w:rsidRPr="003600D9">
        <w:rPr>
          <w:rFonts w:ascii="Verdana" w:hAnsi="Verdana"/>
          <w:color w:val="auto"/>
        </w:rPr>
        <w:t>Capacity and length of terms</w:t>
      </w:r>
    </w:p>
    <w:p w14:paraId="6EBA0A54" w14:textId="738F8A91" w:rsidR="00377241" w:rsidRPr="00A50303" w:rsidRDefault="004B145E" w:rsidP="004B145E">
      <w:pPr>
        <w:rPr>
          <w:rFonts w:ascii="Verdana" w:hAnsi="Verdana"/>
        </w:rPr>
      </w:pPr>
      <w:r w:rsidRPr="004B145E">
        <w:rPr>
          <w:rFonts w:ascii="Verdana" w:hAnsi="Verdana"/>
        </w:rPr>
        <w:t xml:space="preserve">Most members will be appointed in an individual capacity. However, up to two positions may be filled by </w:t>
      </w:r>
      <w:proofErr w:type="spellStart"/>
      <w:r w:rsidRPr="004B145E">
        <w:rPr>
          <w:rFonts w:ascii="Verdana" w:hAnsi="Verdana"/>
        </w:rPr>
        <w:t>organisational</w:t>
      </w:r>
      <w:proofErr w:type="spellEnd"/>
      <w:r w:rsidRPr="004B145E">
        <w:rPr>
          <w:rFonts w:ascii="Verdana" w:hAnsi="Verdana"/>
        </w:rPr>
        <w:t xml:space="preserve"> representatives where this supports equitable participation.</w:t>
      </w:r>
    </w:p>
    <w:p w14:paraId="7B860087" w14:textId="56CE6206" w:rsidR="00377241" w:rsidRPr="00A50303" w:rsidRDefault="007144A6">
      <w:pPr>
        <w:rPr>
          <w:rFonts w:ascii="Verdana" w:hAnsi="Verdana"/>
        </w:rPr>
      </w:pPr>
      <w:r w:rsidRPr="2F964B79">
        <w:rPr>
          <w:rFonts w:ascii="Verdana" w:hAnsi="Verdana"/>
        </w:rPr>
        <w:t>Terms will be staggered</w:t>
      </w:r>
      <w:r w:rsidR="394ABD78" w:rsidRPr="2F964B79">
        <w:rPr>
          <w:rFonts w:ascii="Verdana" w:hAnsi="Verdana"/>
        </w:rPr>
        <w:t>. I</w:t>
      </w:r>
      <w:r w:rsidR="003600D9" w:rsidRPr="2F964B79">
        <w:rPr>
          <w:rFonts w:ascii="Verdana" w:hAnsi="Verdana"/>
        </w:rPr>
        <w:t xml:space="preserve">n the first year five members will be appointed for one year, and five members for two years. </w:t>
      </w:r>
    </w:p>
    <w:p w14:paraId="7512F0A6" w14:textId="79FE225B" w:rsidR="003600D9" w:rsidRDefault="003600D9" w:rsidP="003600D9">
      <w:pPr>
        <w:rPr>
          <w:rFonts w:ascii="Verdana" w:hAnsi="Verdana"/>
        </w:rPr>
      </w:pPr>
      <w:r w:rsidRPr="2F964B79">
        <w:rPr>
          <w:rFonts w:ascii="Verdana" w:hAnsi="Verdana"/>
        </w:rPr>
        <w:t>There will be an annual E</w:t>
      </w:r>
      <w:r w:rsidR="6CFA0F63" w:rsidRPr="2F964B79">
        <w:rPr>
          <w:rFonts w:ascii="Verdana" w:hAnsi="Verdana"/>
        </w:rPr>
        <w:t>o</w:t>
      </w:r>
      <w:r w:rsidRPr="2F964B79">
        <w:rPr>
          <w:rFonts w:ascii="Verdana" w:hAnsi="Verdana"/>
        </w:rPr>
        <w:t>I process for future appointments, with five new members appointed each year.</w:t>
      </w:r>
    </w:p>
    <w:p w14:paraId="149DE4AB" w14:textId="45FB3F2D" w:rsidR="00377241" w:rsidRPr="003600D9" w:rsidRDefault="007144A6" w:rsidP="003600D9">
      <w:pPr>
        <w:pStyle w:val="Heading2"/>
        <w:spacing w:afterLines="40" w:after="96"/>
        <w:rPr>
          <w:rFonts w:ascii="Verdana" w:hAnsi="Verdana"/>
          <w:color w:val="auto"/>
        </w:rPr>
      </w:pPr>
      <w:r w:rsidRPr="2F964B79">
        <w:rPr>
          <w:rFonts w:ascii="Verdana" w:hAnsi="Verdana"/>
          <w:color w:val="auto"/>
        </w:rPr>
        <w:t xml:space="preserve">Member </w:t>
      </w:r>
      <w:r w:rsidR="1D036666" w:rsidRPr="2F964B79">
        <w:rPr>
          <w:rFonts w:ascii="Verdana" w:hAnsi="Verdana"/>
          <w:color w:val="auto"/>
        </w:rPr>
        <w:t>r</w:t>
      </w:r>
      <w:r w:rsidRPr="2F964B79">
        <w:rPr>
          <w:rFonts w:ascii="Verdana" w:hAnsi="Verdana"/>
          <w:color w:val="auto"/>
        </w:rPr>
        <w:t>oles</w:t>
      </w:r>
    </w:p>
    <w:p w14:paraId="00DD760A" w14:textId="4B06129B" w:rsidR="003600D9" w:rsidRPr="003600D9" w:rsidRDefault="003600D9" w:rsidP="003600D9">
      <w:pPr>
        <w:rPr>
          <w:rFonts w:ascii="Verdana" w:hAnsi="Verdana"/>
        </w:rPr>
      </w:pPr>
      <w:r w:rsidRPr="003600D9">
        <w:rPr>
          <w:rFonts w:ascii="Verdana" w:hAnsi="Verdana"/>
        </w:rPr>
        <w:t>Members of the Accessibility Advisory Group will:</w:t>
      </w:r>
    </w:p>
    <w:p w14:paraId="41F19321" w14:textId="1B9C956B" w:rsidR="003600D9" w:rsidRPr="006E6C6D" w:rsidRDefault="6FDCF9BD" w:rsidP="007D262E">
      <w:pPr>
        <w:pStyle w:val="ListParagraph"/>
        <w:numPr>
          <w:ilvl w:val="0"/>
          <w:numId w:val="31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s</w:t>
      </w:r>
      <w:r w:rsidR="003600D9" w:rsidRPr="006E6C6D">
        <w:rPr>
          <w:rFonts w:ascii="Verdana" w:hAnsi="Verdana"/>
        </w:rPr>
        <w:t>elect a Co-Chair from among themselves to work in partnership with the designated Whaikaha Co-Chair</w:t>
      </w:r>
    </w:p>
    <w:p w14:paraId="6BA63B71" w14:textId="26E60C68" w:rsidR="003600D9" w:rsidRPr="006E6C6D" w:rsidRDefault="18CC6042" w:rsidP="007D262E">
      <w:pPr>
        <w:pStyle w:val="ListParagraph"/>
        <w:numPr>
          <w:ilvl w:val="0"/>
          <w:numId w:val="31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c</w:t>
      </w:r>
      <w:r w:rsidR="63980D1E" w:rsidRPr="006E6C6D">
        <w:rPr>
          <w:rFonts w:ascii="Verdana" w:hAnsi="Verdana"/>
        </w:rPr>
        <w:t xml:space="preserve">ontribute their expertise and lived experience to support the </w:t>
      </w:r>
      <w:r w:rsidR="31F50CAE" w:rsidRPr="006E6C6D">
        <w:rPr>
          <w:rFonts w:ascii="Verdana" w:hAnsi="Verdana"/>
        </w:rPr>
        <w:t>g</w:t>
      </w:r>
      <w:r w:rsidR="63980D1E" w:rsidRPr="006E6C6D">
        <w:rPr>
          <w:rFonts w:ascii="Verdana" w:hAnsi="Verdana"/>
        </w:rPr>
        <w:t>roup’s advisory function</w:t>
      </w:r>
    </w:p>
    <w:p w14:paraId="634351D0" w14:textId="62C7FBB6" w:rsidR="003600D9" w:rsidRPr="006E6C6D" w:rsidRDefault="357F966A" w:rsidP="007D262E">
      <w:pPr>
        <w:pStyle w:val="ListParagraph"/>
        <w:numPr>
          <w:ilvl w:val="0"/>
          <w:numId w:val="31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p</w:t>
      </w:r>
      <w:r w:rsidR="003600D9" w:rsidRPr="006E6C6D">
        <w:rPr>
          <w:rFonts w:ascii="Verdana" w:hAnsi="Verdana"/>
        </w:rPr>
        <w:t xml:space="preserve">articipate in discussions and decision-making processes related to the Accessibility Work </w:t>
      </w:r>
      <w:proofErr w:type="spellStart"/>
      <w:r w:rsidR="003600D9" w:rsidRPr="006E6C6D">
        <w:rPr>
          <w:rFonts w:ascii="Verdana" w:hAnsi="Verdana"/>
        </w:rPr>
        <w:t>Programme</w:t>
      </w:r>
      <w:proofErr w:type="spellEnd"/>
    </w:p>
    <w:p w14:paraId="28A68AD4" w14:textId="305FF0BE" w:rsidR="003600D9" w:rsidRPr="006E6C6D" w:rsidRDefault="226DC258" w:rsidP="007D262E">
      <w:pPr>
        <w:pStyle w:val="ListParagraph"/>
        <w:numPr>
          <w:ilvl w:val="0"/>
          <w:numId w:val="31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lastRenderedPageBreak/>
        <w:t>s</w:t>
      </w:r>
      <w:r w:rsidR="003600D9" w:rsidRPr="006E6C6D">
        <w:rPr>
          <w:rFonts w:ascii="Verdana" w:hAnsi="Verdana"/>
        </w:rPr>
        <w:t>upport collaborative engagement and ensure diverse perspectives are considered</w:t>
      </w:r>
    </w:p>
    <w:p w14:paraId="313BA25D" w14:textId="52E2C1D0" w:rsidR="00CB0DD7" w:rsidRPr="006E6C6D" w:rsidRDefault="6A16C8F3" w:rsidP="007D262E">
      <w:pPr>
        <w:pStyle w:val="ListParagraph"/>
        <w:numPr>
          <w:ilvl w:val="0"/>
          <w:numId w:val="31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s</w:t>
      </w:r>
      <w:r w:rsidR="00CB0DD7" w:rsidRPr="006E6C6D">
        <w:rPr>
          <w:rFonts w:ascii="Verdana" w:hAnsi="Verdana"/>
        </w:rPr>
        <w:t xml:space="preserve">elect two members to participate in the Whaikaha Accessibility Work </w:t>
      </w:r>
      <w:proofErr w:type="spellStart"/>
      <w:r w:rsidR="00CB0DD7" w:rsidRPr="006E6C6D">
        <w:rPr>
          <w:rFonts w:ascii="Verdana" w:hAnsi="Verdana"/>
        </w:rPr>
        <w:t>Programme</w:t>
      </w:r>
      <w:proofErr w:type="spellEnd"/>
      <w:r w:rsidR="00CB0DD7" w:rsidRPr="006E6C6D">
        <w:rPr>
          <w:rFonts w:ascii="Verdana" w:hAnsi="Verdana"/>
        </w:rPr>
        <w:t xml:space="preserve"> Steering Group meetings as required</w:t>
      </w:r>
    </w:p>
    <w:p w14:paraId="1828C0EF" w14:textId="0422FF7F" w:rsidR="003600D9" w:rsidRPr="006E6C6D" w:rsidRDefault="1ECDBBC8" w:rsidP="007D262E">
      <w:pPr>
        <w:pStyle w:val="ListParagraph"/>
        <w:numPr>
          <w:ilvl w:val="0"/>
          <w:numId w:val="31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w</w:t>
      </w:r>
      <w:r w:rsidR="003600D9" w:rsidRPr="006E6C6D">
        <w:rPr>
          <w:rFonts w:ascii="Verdana" w:hAnsi="Verdana"/>
        </w:rPr>
        <w:t>here required, additional subject matter experts may be invited to contribute to specific projects or discussions.</w:t>
      </w:r>
    </w:p>
    <w:p w14:paraId="177BFE4F" w14:textId="250A19C9" w:rsidR="00377241" w:rsidRDefault="007144A6" w:rsidP="002622EC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>Meeting</w:t>
      </w:r>
      <w:r w:rsidR="00CB0DD7">
        <w:rPr>
          <w:rFonts w:ascii="Verdana" w:hAnsi="Verdana"/>
          <w:color w:val="auto"/>
        </w:rPr>
        <w:t xml:space="preserve"> arrangements</w:t>
      </w:r>
    </w:p>
    <w:p w14:paraId="141C5A4D" w14:textId="01692B00" w:rsidR="002622EC" w:rsidRPr="002622EC" w:rsidRDefault="34988BFC" w:rsidP="2F964B79">
      <w:pPr>
        <w:rPr>
          <w:rFonts w:ascii="Verdana" w:hAnsi="Verdana"/>
        </w:rPr>
      </w:pPr>
      <w:r w:rsidRPr="2F964B79">
        <w:rPr>
          <w:rFonts w:ascii="Verdana" w:hAnsi="Verdana"/>
        </w:rPr>
        <w:t xml:space="preserve">Hui will begin and close with </w:t>
      </w:r>
      <w:proofErr w:type="spellStart"/>
      <w:r w:rsidRPr="2F964B79">
        <w:rPr>
          <w:rFonts w:ascii="Verdana" w:hAnsi="Verdana"/>
        </w:rPr>
        <w:t>karakia</w:t>
      </w:r>
      <w:proofErr w:type="spellEnd"/>
      <w:r w:rsidRPr="2F964B79">
        <w:rPr>
          <w:rFonts w:ascii="Verdana" w:hAnsi="Verdana"/>
        </w:rPr>
        <w:t xml:space="preserve"> and provide time for </w:t>
      </w:r>
      <w:r w:rsidR="00AC2AA6" w:rsidRPr="2F964B79">
        <w:rPr>
          <w:rFonts w:ascii="Verdana" w:hAnsi="Verdana"/>
        </w:rPr>
        <w:t>relationship building</w:t>
      </w:r>
      <w:r w:rsidR="00775F4C" w:rsidRPr="2F964B79">
        <w:rPr>
          <w:rFonts w:ascii="Verdana" w:hAnsi="Verdana"/>
        </w:rPr>
        <w:t xml:space="preserve"> and </w:t>
      </w:r>
      <w:proofErr w:type="spellStart"/>
      <w:r w:rsidRPr="2F964B79">
        <w:rPr>
          <w:rFonts w:ascii="Verdana" w:hAnsi="Verdana"/>
        </w:rPr>
        <w:t>whakawhanaungatanga</w:t>
      </w:r>
      <w:proofErr w:type="spellEnd"/>
      <w:r w:rsidRPr="2F964B79">
        <w:rPr>
          <w:rFonts w:ascii="Verdana" w:hAnsi="Verdana"/>
        </w:rPr>
        <w:t xml:space="preserve">. </w:t>
      </w:r>
      <w:proofErr w:type="spellStart"/>
      <w:r w:rsidRPr="2F964B79">
        <w:rPr>
          <w:rFonts w:ascii="Verdana" w:hAnsi="Verdana"/>
        </w:rPr>
        <w:t>Waiata</w:t>
      </w:r>
      <w:proofErr w:type="spellEnd"/>
      <w:r w:rsidRPr="2F964B79">
        <w:rPr>
          <w:rFonts w:ascii="Verdana" w:hAnsi="Verdana"/>
        </w:rPr>
        <w:t xml:space="preserve"> may be included where appropriate</w:t>
      </w:r>
      <w:r w:rsidR="00382921" w:rsidRPr="2F964B79">
        <w:rPr>
          <w:rFonts w:ascii="Verdana" w:hAnsi="Verdana"/>
        </w:rPr>
        <w:t>.</w:t>
      </w:r>
      <w:r w:rsidRPr="2F964B79">
        <w:rPr>
          <w:rFonts w:ascii="Verdana" w:hAnsi="Verdana"/>
        </w:rPr>
        <w:t xml:space="preserve"> </w:t>
      </w:r>
      <w:r w:rsidR="00CB0DD7" w:rsidRPr="2F964B79">
        <w:rPr>
          <w:rFonts w:ascii="Verdana" w:hAnsi="Verdana"/>
        </w:rPr>
        <w:t>The Accessibility Advisory Group will meet</w:t>
      </w:r>
      <w:r w:rsidR="0CF33381" w:rsidRPr="2F964B79">
        <w:rPr>
          <w:rFonts w:ascii="Verdana" w:hAnsi="Verdana"/>
        </w:rPr>
        <w:t xml:space="preserve"> </w:t>
      </w:r>
      <w:r w:rsidR="00CB0DD7" w:rsidRPr="2F964B79">
        <w:rPr>
          <w:rFonts w:ascii="Verdana" w:hAnsi="Verdana"/>
        </w:rPr>
        <w:t xml:space="preserve">four </w:t>
      </w:r>
      <w:r w:rsidR="002622EC" w:rsidRPr="2F964B79">
        <w:rPr>
          <w:rFonts w:ascii="Verdana" w:hAnsi="Verdana"/>
        </w:rPr>
        <w:t xml:space="preserve">to </w:t>
      </w:r>
      <w:r w:rsidR="00CB0DD7" w:rsidRPr="2F964B79">
        <w:rPr>
          <w:rFonts w:ascii="Verdana" w:hAnsi="Verdana"/>
        </w:rPr>
        <w:t>six times each financial year</w:t>
      </w:r>
      <w:r w:rsidR="002622EC" w:rsidRPr="2F964B79">
        <w:rPr>
          <w:rFonts w:ascii="Verdana" w:hAnsi="Verdana"/>
        </w:rPr>
        <w:t>.</w:t>
      </w:r>
    </w:p>
    <w:p w14:paraId="651BC8E3" w14:textId="2FF36576" w:rsidR="00CB0DD7" w:rsidRPr="002622EC" w:rsidRDefault="00CB0DD7" w:rsidP="002622EC">
      <w:pPr>
        <w:rPr>
          <w:rFonts w:ascii="Verdana" w:hAnsi="Verdana"/>
        </w:rPr>
      </w:pPr>
      <w:r w:rsidRPr="002622EC">
        <w:rPr>
          <w:rFonts w:ascii="Verdana" w:hAnsi="Verdana"/>
        </w:rPr>
        <w:t>Most meetings will be held online to support accessibility and flexibility, with the possibility of one in-person meeting in Wellington each year.</w:t>
      </w:r>
    </w:p>
    <w:p w14:paraId="128496B8" w14:textId="1CDCCFA4" w:rsidR="00CB0DD7" w:rsidRPr="00CB0DD7" w:rsidRDefault="00CB0DD7" w:rsidP="00CB0DD7">
      <w:pPr>
        <w:rPr>
          <w:rFonts w:ascii="Verdana" w:hAnsi="Verdana"/>
        </w:rPr>
      </w:pPr>
      <w:r w:rsidRPr="00CB0DD7">
        <w:rPr>
          <w:rFonts w:ascii="Verdana" w:hAnsi="Verdana"/>
        </w:rPr>
        <w:t xml:space="preserve">Each meeting will run for up to four hours. Members will also be paid for up to two hours of preparation or follow-up work per meeting. This </w:t>
      </w:r>
      <w:proofErr w:type="spellStart"/>
      <w:r w:rsidRPr="00CB0DD7">
        <w:rPr>
          <w:rFonts w:ascii="Verdana" w:hAnsi="Verdana"/>
        </w:rPr>
        <w:t>recognises</w:t>
      </w:r>
      <w:proofErr w:type="spellEnd"/>
      <w:r w:rsidRPr="00CB0DD7">
        <w:rPr>
          <w:rFonts w:ascii="Verdana" w:hAnsi="Verdana"/>
        </w:rPr>
        <w:t xml:space="preserve"> the time needed to read materials, reflect, and contribute meaningfully.</w:t>
      </w:r>
    </w:p>
    <w:p w14:paraId="637BB7A5" w14:textId="04285EDB" w:rsidR="00CB0DD7" w:rsidRDefault="00CB0DD7" w:rsidP="00CB0DD7">
      <w:pPr>
        <w:rPr>
          <w:rFonts w:ascii="Verdana" w:hAnsi="Verdana"/>
        </w:rPr>
      </w:pPr>
      <w:r w:rsidRPr="00CB0DD7">
        <w:rPr>
          <w:rFonts w:ascii="Verdana" w:hAnsi="Verdana"/>
        </w:rPr>
        <w:t>Meeting times, breaks, and accessibility needs</w:t>
      </w:r>
      <w:r>
        <w:rPr>
          <w:rFonts w:ascii="Verdana" w:hAnsi="Verdana"/>
        </w:rPr>
        <w:t xml:space="preserve"> (including reasonable accommodations)</w:t>
      </w:r>
      <w:r w:rsidRPr="00CB0DD7">
        <w:rPr>
          <w:rFonts w:ascii="Verdana" w:hAnsi="Verdana"/>
        </w:rPr>
        <w:t xml:space="preserve"> will be discussed with members to ensure sessions are inclusive, manageable, and respectful</w:t>
      </w:r>
      <w:r>
        <w:rPr>
          <w:rFonts w:ascii="Verdana" w:hAnsi="Verdana"/>
        </w:rPr>
        <w:t>.</w:t>
      </w:r>
    </w:p>
    <w:p w14:paraId="191A962B" w14:textId="77777777" w:rsidR="002622EC" w:rsidRDefault="002622EC" w:rsidP="002622EC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>Remuneratio</w:t>
      </w:r>
      <w:r>
        <w:rPr>
          <w:rFonts w:ascii="Verdana" w:hAnsi="Verdana"/>
          <w:color w:val="auto"/>
        </w:rPr>
        <w:t>n</w:t>
      </w:r>
    </w:p>
    <w:p w14:paraId="7F022F20" w14:textId="425D8741" w:rsidR="002622EC" w:rsidRPr="002622EC" w:rsidRDefault="002622EC" w:rsidP="002622EC">
      <w:pPr>
        <w:rPr>
          <w:rFonts w:ascii="Verdana" w:hAnsi="Verdana"/>
        </w:rPr>
      </w:pPr>
      <w:r w:rsidRPr="002622EC">
        <w:rPr>
          <w:rFonts w:ascii="Verdana" w:hAnsi="Verdana"/>
        </w:rPr>
        <w:t>Members will be paid for their time in line with the Cabinet Fees Framework:</w:t>
      </w:r>
    </w:p>
    <w:p w14:paraId="11D6E31A" w14:textId="65CB8DAF" w:rsidR="002622EC" w:rsidRPr="006E6C6D" w:rsidRDefault="3B1AD82E" w:rsidP="007D262E">
      <w:pPr>
        <w:pStyle w:val="ListParagraph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g</w:t>
      </w:r>
      <w:r w:rsidR="002622EC" w:rsidRPr="006E6C6D">
        <w:rPr>
          <w:rFonts w:ascii="Verdana" w:hAnsi="Verdana"/>
        </w:rPr>
        <w:t>eneral members will receive $61 per hour</w:t>
      </w:r>
    </w:p>
    <w:p w14:paraId="6BE59918" w14:textId="6BAC2362" w:rsidR="002622EC" w:rsidRPr="006E6C6D" w:rsidRDefault="0A60FAD6" w:rsidP="007D262E">
      <w:pPr>
        <w:pStyle w:val="ListParagraph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006E6C6D">
        <w:rPr>
          <w:rFonts w:ascii="Verdana" w:hAnsi="Verdana"/>
        </w:rPr>
        <w:t>t</w:t>
      </w:r>
      <w:r w:rsidR="002622EC" w:rsidRPr="006E6C6D">
        <w:rPr>
          <w:rFonts w:ascii="Verdana" w:hAnsi="Verdana"/>
        </w:rPr>
        <w:t>he Co-Chair will receive $77 per hour.</w:t>
      </w:r>
      <w:r w:rsidR="00CF2323" w:rsidRPr="006E6C6D">
        <w:rPr>
          <w:rFonts w:ascii="Verdana" w:hAnsi="Verdana"/>
        </w:rPr>
        <w:t xml:space="preserve"> </w:t>
      </w:r>
      <w:r w:rsidR="002622EC" w:rsidRPr="006E6C6D">
        <w:rPr>
          <w:rFonts w:ascii="Verdana" w:hAnsi="Verdana"/>
        </w:rPr>
        <w:t>This includes time spent in meetings and any agreed preparation or follow-up work of up to two hours per AAG meeting.</w:t>
      </w:r>
    </w:p>
    <w:p w14:paraId="373A69B9" w14:textId="390B5130" w:rsidR="005E7411" w:rsidRPr="00CF2323" w:rsidRDefault="005E7411" w:rsidP="2F964B79">
      <w:pPr>
        <w:spacing w:after="80"/>
        <w:rPr>
          <w:rFonts w:ascii="Verdana" w:hAnsi="Verdana"/>
        </w:rPr>
      </w:pPr>
      <w:r w:rsidRPr="2F964B79">
        <w:rPr>
          <w:rFonts w:ascii="Verdana" w:hAnsi="Verdana"/>
        </w:rPr>
        <w:t xml:space="preserve">Whaikaha will also cover reasonable costs related to accessibility and participation. This may include travel, NZSL interpretation, assistive technology, or other accommodations needed to support equitable engagement. </w:t>
      </w:r>
    </w:p>
    <w:p w14:paraId="28DD8905" w14:textId="77777777" w:rsidR="002622EC" w:rsidRPr="00A50303" w:rsidRDefault="002622EC" w:rsidP="002622EC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>Support</w:t>
      </w:r>
      <w:r>
        <w:rPr>
          <w:rFonts w:ascii="Verdana" w:hAnsi="Verdana"/>
          <w:color w:val="auto"/>
        </w:rPr>
        <w:t xml:space="preserve"> provided by Whaikaha</w:t>
      </w:r>
    </w:p>
    <w:p w14:paraId="10CB4429" w14:textId="370D4035" w:rsidR="002622EC" w:rsidRPr="002622EC" w:rsidRDefault="002622EC" w:rsidP="002622EC">
      <w:pPr>
        <w:rPr>
          <w:rFonts w:ascii="Verdana" w:hAnsi="Verdana"/>
        </w:rPr>
      </w:pPr>
      <w:r w:rsidRPr="002622EC">
        <w:rPr>
          <w:rFonts w:ascii="Verdana" w:hAnsi="Verdana"/>
        </w:rPr>
        <w:t>Whaikaha will provide practical support to help the AAG to operate effectively, including:</w:t>
      </w:r>
    </w:p>
    <w:p w14:paraId="5D427446" w14:textId="608CCF8E" w:rsidR="002622EC" w:rsidRPr="002622EC" w:rsidRDefault="0C140312" w:rsidP="007D262E">
      <w:pPr>
        <w:pStyle w:val="ListParagraph"/>
        <w:numPr>
          <w:ilvl w:val="0"/>
          <w:numId w:val="33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2F964B79">
        <w:rPr>
          <w:rFonts w:ascii="Verdana" w:hAnsi="Verdana"/>
        </w:rPr>
        <w:t>f</w:t>
      </w:r>
      <w:r w:rsidR="1B0D5BB8" w:rsidRPr="2F964B79">
        <w:rPr>
          <w:rFonts w:ascii="Verdana" w:hAnsi="Verdana"/>
        </w:rPr>
        <w:t xml:space="preserve">acilitating tikanga practices such as </w:t>
      </w:r>
      <w:proofErr w:type="spellStart"/>
      <w:r w:rsidR="1B0D5BB8" w:rsidRPr="2F964B79">
        <w:rPr>
          <w:rFonts w:ascii="Verdana" w:hAnsi="Verdana"/>
        </w:rPr>
        <w:t>karakia</w:t>
      </w:r>
      <w:proofErr w:type="spellEnd"/>
      <w:r w:rsidR="1B0D5BB8" w:rsidRPr="2F964B79">
        <w:rPr>
          <w:rFonts w:ascii="Verdana" w:hAnsi="Verdana"/>
        </w:rPr>
        <w:t xml:space="preserve">, </w:t>
      </w:r>
      <w:proofErr w:type="spellStart"/>
      <w:r w:rsidR="1B0D5BB8" w:rsidRPr="2F964B79">
        <w:rPr>
          <w:rFonts w:ascii="Verdana" w:hAnsi="Verdana"/>
        </w:rPr>
        <w:t>waiata</w:t>
      </w:r>
      <w:proofErr w:type="spellEnd"/>
      <w:r w:rsidR="1B0D5BB8" w:rsidRPr="2F964B79">
        <w:rPr>
          <w:rFonts w:ascii="Verdana" w:hAnsi="Verdana"/>
        </w:rPr>
        <w:t xml:space="preserve"> and </w:t>
      </w:r>
      <w:proofErr w:type="spellStart"/>
      <w:r w:rsidR="1B0D5BB8" w:rsidRPr="2F964B79">
        <w:rPr>
          <w:rFonts w:ascii="Verdana" w:hAnsi="Verdana"/>
        </w:rPr>
        <w:t>whakawhanaungatanga</w:t>
      </w:r>
      <w:proofErr w:type="spellEnd"/>
      <w:r w:rsidR="1B0D5BB8" w:rsidRPr="2F964B79">
        <w:rPr>
          <w:rFonts w:ascii="Verdana" w:hAnsi="Verdana"/>
        </w:rPr>
        <w:t xml:space="preserve"> and providing cultural safety guidance for hui.</w:t>
      </w:r>
    </w:p>
    <w:p w14:paraId="61028733" w14:textId="47DE7D33" w:rsidR="002622EC" w:rsidRPr="002622EC" w:rsidRDefault="4E84884E" w:rsidP="007D262E">
      <w:pPr>
        <w:pStyle w:val="ListParagraph"/>
        <w:numPr>
          <w:ilvl w:val="0"/>
          <w:numId w:val="33"/>
        </w:numPr>
        <w:spacing w:before="120" w:after="120"/>
        <w:ind w:left="714" w:hanging="357"/>
        <w:contextualSpacing w:val="0"/>
        <w:rPr>
          <w:rFonts w:ascii="Verdana" w:hAnsi="Verdana"/>
        </w:rPr>
      </w:pPr>
      <w:proofErr w:type="spellStart"/>
      <w:r w:rsidRPr="2F964B79">
        <w:rPr>
          <w:rFonts w:ascii="Verdana" w:hAnsi="Verdana"/>
        </w:rPr>
        <w:lastRenderedPageBreak/>
        <w:t>o</w:t>
      </w:r>
      <w:r w:rsidR="002622EC" w:rsidRPr="2F964B79">
        <w:rPr>
          <w:rFonts w:ascii="Verdana" w:hAnsi="Verdana"/>
        </w:rPr>
        <w:t>rganising</w:t>
      </w:r>
      <w:proofErr w:type="spellEnd"/>
      <w:r w:rsidR="002622EC" w:rsidRPr="2F964B79">
        <w:rPr>
          <w:rFonts w:ascii="Verdana" w:hAnsi="Verdana"/>
        </w:rPr>
        <w:t xml:space="preserve"> meetings, including scheduling, sending invitations, and preparing agendas</w:t>
      </w:r>
    </w:p>
    <w:p w14:paraId="3909931C" w14:textId="4D3FE769" w:rsidR="002622EC" w:rsidRPr="002622EC" w:rsidRDefault="69E540DC" w:rsidP="007D262E">
      <w:pPr>
        <w:pStyle w:val="ListParagraph"/>
        <w:numPr>
          <w:ilvl w:val="0"/>
          <w:numId w:val="33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2F964B79">
        <w:rPr>
          <w:rFonts w:ascii="Verdana" w:hAnsi="Verdana"/>
        </w:rPr>
        <w:t>t</w:t>
      </w:r>
      <w:r w:rsidR="002622EC" w:rsidRPr="2F964B79">
        <w:rPr>
          <w:rFonts w:ascii="Verdana" w:hAnsi="Verdana"/>
        </w:rPr>
        <w:t>aking notes during meetings, recording actions, and following up on tasks</w:t>
      </w:r>
    </w:p>
    <w:p w14:paraId="3F5D5C02" w14:textId="368CB6DB" w:rsidR="002622EC" w:rsidRPr="002622EC" w:rsidRDefault="2EA65D28" w:rsidP="007D262E">
      <w:pPr>
        <w:pStyle w:val="ListParagraph"/>
        <w:numPr>
          <w:ilvl w:val="0"/>
          <w:numId w:val="33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2F964B79">
        <w:rPr>
          <w:rFonts w:ascii="Verdana" w:hAnsi="Verdana"/>
        </w:rPr>
        <w:t>p</w:t>
      </w:r>
      <w:r w:rsidR="002622EC" w:rsidRPr="2F964B79">
        <w:rPr>
          <w:rFonts w:ascii="Verdana" w:hAnsi="Verdana"/>
        </w:rPr>
        <w:t>roviding help with technology, such as setting up online meetings or troubleshooting access issues</w:t>
      </w:r>
    </w:p>
    <w:p w14:paraId="7B9F9376" w14:textId="78FBE48E" w:rsidR="002622EC" w:rsidRPr="002622EC" w:rsidRDefault="6C9582EA" w:rsidP="007D262E">
      <w:pPr>
        <w:pStyle w:val="ListParagraph"/>
        <w:numPr>
          <w:ilvl w:val="0"/>
          <w:numId w:val="33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2F964B79">
        <w:rPr>
          <w:rFonts w:ascii="Verdana" w:hAnsi="Verdana"/>
        </w:rPr>
        <w:t>p</w:t>
      </w:r>
      <w:r w:rsidR="002622EC" w:rsidRPr="2F964B79">
        <w:rPr>
          <w:rFonts w:ascii="Verdana" w:hAnsi="Verdana"/>
        </w:rPr>
        <w:t>rocessing payments and reimbursements for members</w:t>
      </w:r>
    </w:p>
    <w:p w14:paraId="24405EE2" w14:textId="1B4EB14A" w:rsidR="002622EC" w:rsidRPr="00972F9E" w:rsidRDefault="7B170CEA" w:rsidP="007D262E">
      <w:pPr>
        <w:pStyle w:val="ListParagraph"/>
        <w:numPr>
          <w:ilvl w:val="0"/>
          <w:numId w:val="33"/>
        </w:numPr>
        <w:spacing w:before="120" w:after="120"/>
        <w:ind w:left="714" w:hanging="357"/>
        <w:contextualSpacing w:val="0"/>
        <w:rPr>
          <w:rFonts w:ascii="Verdana" w:hAnsi="Verdana"/>
        </w:rPr>
      </w:pPr>
      <w:r w:rsidRPr="2F964B79">
        <w:rPr>
          <w:rFonts w:ascii="Verdana" w:hAnsi="Verdana"/>
        </w:rPr>
        <w:t>a</w:t>
      </w:r>
      <w:r w:rsidR="002622EC" w:rsidRPr="2F964B79">
        <w:rPr>
          <w:rFonts w:ascii="Verdana" w:hAnsi="Verdana"/>
        </w:rPr>
        <w:t>rranging accessibility support such as interpreters, captions, note-taking, meeting assistance and other reasonable accommodations.</w:t>
      </w:r>
    </w:p>
    <w:p w14:paraId="7AD54490" w14:textId="2E044010" w:rsidR="00377241" w:rsidRPr="00A50303" w:rsidRDefault="007144A6" w:rsidP="002622EC">
      <w:pPr>
        <w:pStyle w:val="Heading2"/>
        <w:spacing w:afterLines="40" w:after="96"/>
        <w:rPr>
          <w:rFonts w:ascii="Verdana" w:hAnsi="Verdana"/>
          <w:color w:val="auto"/>
        </w:rPr>
      </w:pPr>
      <w:r w:rsidRPr="00A50303">
        <w:rPr>
          <w:rFonts w:ascii="Verdana" w:hAnsi="Verdana"/>
          <w:color w:val="auto"/>
        </w:rPr>
        <w:t>Conduct</w:t>
      </w:r>
    </w:p>
    <w:p w14:paraId="0428F628" w14:textId="78D5A382" w:rsidR="00972F9E" w:rsidRDefault="007144A6" w:rsidP="00972F9E">
      <w:pPr>
        <w:rPr>
          <w:rFonts w:ascii="Verdana" w:hAnsi="Verdana"/>
        </w:rPr>
      </w:pPr>
      <w:r w:rsidRPr="744004D6">
        <w:rPr>
          <w:rFonts w:ascii="Verdana" w:hAnsi="Verdana"/>
        </w:rPr>
        <w:t>Members are expected to be respectful, inclusive, impartial, and trustworthy</w:t>
      </w:r>
      <w:r w:rsidR="424E56B1" w:rsidRPr="744004D6">
        <w:rPr>
          <w:rFonts w:ascii="Verdana" w:hAnsi="Verdana"/>
        </w:rPr>
        <w:t xml:space="preserve">, upholding values such as </w:t>
      </w:r>
      <w:r w:rsidR="008B7F97">
        <w:rPr>
          <w:rFonts w:ascii="Verdana" w:hAnsi="Verdana"/>
        </w:rPr>
        <w:t>M</w:t>
      </w:r>
      <w:r w:rsidR="00CF2323">
        <w:rPr>
          <w:rFonts w:ascii="Verdana" w:hAnsi="Verdana"/>
        </w:rPr>
        <w:t xml:space="preserve">ana </w:t>
      </w:r>
      <w:proofErr w:type="spellStart"/>
      <w:r w:rsidR="00CF2323">
        <w:rPr>
          <w:rFonts w:ascii="Verdana" w:hAnsi="Verdana"/>
        </w:rPr>
        <w:t>taurite</w:t>
      </w:r>
      <w:proofErr w:type="spellEnd"/>
      <w:r w:rsidR="00CF2323">
        <w:rPr>
          <w:rFonts w:ascii="Verdana" w:hAnsi="Verdana"/>
        </w:rPr>
        <w:t xml:space="preserve"> (equity drives us)</w:t>
      </w:r>
      <w:r w:rsidR="008B7F97">
        <w:rPr>
          <w:rFonts w:ascii="Verdana" w:hAnsi="Verdana"/>
        </w:rPr>
        <w:t>,</w:t>
      </w:r>
      <w:r w:rsidR="00CF2323">
        <w:rPr>
          <w:rFonts w:ascii="Verdana" w:hAnsi="Verdana"/>
        </w:rPr>
        <w:t xml:space="preserve"> </w:t>
      </w:r>
      <w:r w:rsidR="008B7F97">
        <w:rPr>
          <w:rFonts w:ascii="Verdana" w:hAnsi="Verdana"/>
        </w:rPr>
        <w:t>M</w:t>
      </w:r>
      <w:r w:rsidR="00CF2323">
        <w:rPr>
          <w:rFonts w:ascii="Verdana" w:hAnsi="Verdana"/>
        </w:rPr>
        <w:t>ana kaha (we strengthen and support)</w:t>
      </w:r>
      <w:r w:rsidR="00CF2323" w:rsidRPr="320EFB8A">
        <w:rPr>
          <w:rFonts w:ascii="Verdana" w:eastAsia="Verdana" w:hAnsi="Verdana" w:cs="Verdana"/>
          <w:color w:val="333333"/>
        </w:rPr>
        <w:t>,</w:t>
      </w:r>
      <w:r w:rsidR="00CF2323">
        <w:rPr>
          <w:rFonts w:ascii="Verdana" w:hAnsi="Verdana"/>
        </w:rPr>
        <w:t xml:space="preserve"> and </w:t>
      </w:r>
      <w:r w:rsidR="008B7F97">
        <w:rPr>
          <w:rFonts w:ascii="Verdana" w:hAnsi="Verdana"/>
        </w:rPr>
        <w:t>M</w:t>
      </w:r>
      <w:r w:rsidR="00CF2323">
        <w:rPr>
          <w:rFonts w:ascii="Verdana" w:hAnsi="Verdana"/>
        </w:rPr>
        <w:t xml:space="preserve">ana </w:t>
      </w:r>
      <w:proofErr w:type="spellStart"/>
      <w:r w:rsidR="00CF2323">
        <w:rPr>
          <w:rFonts w:ascii="Verdana" w:hAnsi="Verdana"/>
        </w:rPr>
        <w:t>tūhura</w:t>
      </w:r>
      <w:proofErr w:type="spellEnd"/>
      <w:r w:rsidR="00CF2323">
        <w:rPr>
          <w:rFonts w:ascii="Verdana" w:hAnsi="Verdana"/>
        </w:rPr>
        <w:t xml:space="preserve"> (we explore and learn)</w:t>
      </w:r>
      <w:r w:rsidR="00CF2323" w:rsidRPr="744004D6">
        <w:rPr>
          <w:rFonts w:ascii="Verdana" w:hAnsi="Verdana"/>
        </w:rPr>
        <w:t xml:space="preserve"> </w:t>
      </w:r>
      <w:r w:rsidR="424E56B1" w:rsidRPr="744004D6">
        <w:rPr>
          <w:rFonts w:ascii="Verdana" w:hAnsi="Verdana"/>
        </w:rPr>
        <w:t xml:space="preserve">in their engagement. </w:t>
      </w:r>
    </w:p>
    <w:p w14:paraId="40562D91" w14:textId="2E38BC25" w:rsidR="00972F9E" w:rsidRDefault="00972F9E" w:rsidP="00972F9E">
      <w:pPr>
        <w:rPr>
          <w:rFonts w:ascii="Verdana" w:hAnsi="Verdana"/>
        </w:rPr>
      </w:pPr>
      <w:r>
        <w:rPr>
          <w:rFonts w:ascii="Verdana" w:hAnsi="Verdana"/>
        </w:rPr>
        <w:t xml:space="preserve">Members are expected to bring their own expertise, rather than to be representatives of </w:t>
      </w:r>
      <w:proofErr w:type="gramStart"/>
      <w:r>
        <w:rPr>
          <w:rFonts w:ascii="Verdana" w:hAnsi="Verdana"/>
        </w:rPr>
        <w:t>particular organisations</w:t>
      </w:r>
      <w:proofErr w:type="gramEnd"/>
      <w:r>
        <w:rPr>
          <w:rFonts w:ascii="Verdana" w:hAnsi="Verdana"/>
        </w:rPr>
        <w:t>.</w:t>
      </w:r>
      <w:r w:rsidR="004C7892">
        <w:rPr>
          <w:rFonts w:ascii="Verdana" w:hAnsi="Verdana"/>
        </w:rPr>
        <w:t xml:space="preserve"> </w:t>
      </w:r>
      <w:r w:rsidR="004C7892" w:rsidRPr="004B145E">
        <w:rPr>
          <w:rFonts w:ascii="Verdana" w:hAnsi="Verdana"/>
        </w:rPr>
        <w:t xml:space="preserve">However, up to two positions may be filled by </w:t>
      </w:r>
      <w:proofErr w:type="spellStart"/>
      <w:r w:rsidR="004C7892" w:rsidRPr="004B145E">
        <w:rPr>
          <w:rFonts w:ascii="Verdana" w:hAnsi="Verdana"/>
        </w:rPr>
        <w:t>organisational</w:t>
      </w:r>
      <w:proofErr w:type="spellEnd"/>
      <w:r w:rsidR="004C7892" w:rsidRPr="004B145E">
        <w:rPr>
          <w:rFonts w:ascii="Verdana" w:hAnsi="Verdana"/>
        </w:rPr>
        <w:t xml:space="preserve"> representatives where this supports equitable participation.</w:t>
      </w:r>
    </w:p>
    <w:p w14:paraId="399F3E14" w14:textId="2380FC59" w:rsidR="00377241" w:rsidRPr="002622EC" w:rsidRDefault="007144A6" w:rsidP="00972F9E">
      <w:pPr>
        <w:pStyle w:val="Heading2"/>
        <w:spacing w:afterLines="40" w:after="96"/>
        <w:rPr>
          <w:rFonts w:ascii="Verdana" w:hAnsi="Verdana"/>
          <w:color w:val="auto"/>
        </w:rPr>
      </w:pPr>
      <w:r w:rsidRPr="2F964B79">
        <w:rPr>
          <w:rFonts w:ascii="Verdana" w:hAnsi="Verdana"/>
          <w:color w:val="auto"/>
        </w:rPr>
        <w:t xml:space="preserve">Confidentiality and </w:t>
      </w:r>
      <w:r w:rsidR="2BD9F730" w:rsidRPr="2F964B79">
        <w:rPr>
          <w:rFonts w:ascii="Verdana" w:hAnsi="Verdana"/>
          <w:color w:val="auto"/>
        </w:rPr>
        <w:t>c</w:t>
      </w:r>
      <w:r w:rsidRPr="2F964B79">
        <w:rPr>
          <w:rFonts w:ascii="Verdana" w:hAnsi="Verdana"/>
          <w:color w:val="auto"/>
        </w:rPr>
        <w:t>onflicts</w:t>
      </w:r>
    </w:p>
    <w:p w14:paraId="35551B8F" w14:textId="77777777" w:rsidR="00972F9E" w:rsidRDefault="007144A6">
      <w:pPr>
        <w:rPr>
          <w:rFonts w:eastAsia="Times New Roman" w:cs="Times New Roman"/>
          <w:color w:val="000000" w:themeColor="text1"/>
          <w:lang w:eastAsia="en-NZ"/>
        </w:rPr>
      </w:pPr>
      <w:r w:rsidRPr="00A50303">
        <w:rPr>
          <w:rFonts w:ascii="Verdana" w:hAnsi="Verdana"/>
        </w:rPr>
        <w:t xml:space="preserve">Members must comply with the Privacy Act 2020 and Official Information Act 1982. </w:t>
      </w:r>
    </w:p>
    <w:p w14:paraId="2D1D6553" w14:textId="361AC0D2" w:rsidR="00377241" w:rsidRPr="00A50303" w:rsidRDefault="007144A6">
      <w:pPr>
        <w:rPr>
          <w:rFonts w:ascii="Verdana" w:hAnsi="Verdana"/>
        </w:rPr>
      </w:pPr>
      <w:r w:rsidRPr="2F964B79">
        <w:rPr>
          <w:rFonts w:ascii="Verdana" w:hAnsi="Verdana"/>
        </w:rPr>
        <w:t xml:space="preserve">Relevant documents </w:t>
      </w:r>
      <w:r w:rsidR="00972F9E" w:rsidRPr="2F964B79">
        <w:rPr>
          <w:rFonts w:ascii="Verdana" w:hAnsi="Verdana"/>
        </w:rPr>
        <w:t xml:space="preserve">such as </w:t>
      </w:r>
      <w:r w:rsidR="4E5BB697" w:rsidRPr="2F964B79">
        <w:rPr>
          <w:rFonts w:ascii="Verdana" w:hAnsi="Verdana"/>
        </w:rPr>
        <w:t xml:space="preserve">Appointment Letter, </w:t>
      </w:r>
      <w:r w:rsidR="00972F9E" w:rsidRPr="2F964B79">
        <w:rPr>
          <w:rFonts w:ascii="Verdana" w:hAnsi="Verdana"/>
        </w:rPr>
        <w:t xml:space="preserve">Confidentiality and Conflict of Interest documents </w:t>
      </w:r>
      <w:r w:rsidRPr="2F964B79">
        <w:rPr>
          <w:rFonts w:ascii="Verdana" w:hAnsi="Verdana"/>
        </w:rPr>
        <w:t>will be provided.</w:t>
      </w:r>
    </w:p>
    <w:p w14:paraId="5BC4F5BF" w14:textId="77777777" w:rsidR="00377241" w:rsidRPr="002622EC" w:rsidRDefault="007144A6" w:rsidP="002622EC">
      <w:pPr>
        <w:pStyle w:val="Heading2"/>
        <w:spacing w:afterLines="40" w:after="96"/>
        <w:rPr>
          <w:rFonts w:ascii="Verdana" w:hAnsi="Verdana"/>
          <w:color w:val="auto"/>
        </w:rPr>
      </w:pPr>
      <w:r w:rsidRPr="002622EC">
        <w:rPr>
          <w:rFonts w:ascii="Verdana" w:hAnsi="Verdana"/>
          <w:color w:val="auto"/>
        </w:rPr>
        <w:t>Closure</w:t>
      </w:r>
    </w:p>
    <w:p w14:paraId="2E147D00" w14:textId="77777777" w:rsidR="00377241" w:rsidRPr="00A50303" w:rsidRDefault="007144A6">
      <w:pPr>
        <w:rPr>
          <w:rFonts w:ascii="Verdana" w:hAnsi="Verdana"/>
        </w:rPr>
      </w:pPr>
      <w:r w:rsidRPr="00A50303">
        <w:rPr>
          <w:rFonts w:ascii="Verdana" w:hAnsi="Verdana"/>
        </w:rPr>
        <w:t>Whaikaha may conclude the AAG if operational needs change.</w:t>
      </w:r>
    </w:p>
    <w:p w14:paraId="630C2FF5" w14:textId="77777777" w:rsidR="00377241" w:rsidRPr="002622EC" w:rsidRDefault="007144A6" w:rsidP="002622EC">
      <w:pPr>
        <w:pStyle w:val="Heading2"/>
        <w:spacing w:afterLines="40" w:after="96"/>
        <w:rPr>
          <w:rFonts w:ascii="Verdana" w:hAnsi="Verdana"/>
          <w:color w:val="auto"/>
        </w:rPr>
      </w:pPr>
      <w:r w:rsidRPr="002622EC">
        <w:rPr>
          <w:rFonts w:ascii="Verdana" w:hAnsi="Verdana"/>
          <w:color w:val="auto"/>
        </w:rPr>
        <w:t>Review</w:t>
      </w:r>
    </w:p>
    <w:p w14:paraId="6598A45E" w14:textId="4DECDC76" w:rsidR="00377241" w:rsidRPr="00A50303" w:rsidRDefault="045B2FE2">
      <w:pPr>
        <w:rPr>
          <w:rFonts w:ascii="Verdana" w:hAnsi="Verdana"/>
        </w:rPr>
      </w:pPr>
      <w:r w:rsidRPr="64D0C8BE">
        <w:rPr>
          <w:rFonts w:ascii="Verdana" w:hAnsi="Verdana"/>
        </w:rPr>
        <w:t>The Terms of Reference will be reviewed annually, or earlier if agreed by Whaikaha and the AAG.</w:t>
      </w:r>
      <w:r w:rsidR="27373C7B" w:rsidRPr="64D0C8BE">
        <w:rPr>
          <w:rFonts w:ascii="Verdana" w:hAnsi="Verdana"/>
        </w:rPr>
        <w:t xml:space="preserve"> Reviews will consider whether the </w:t>
      </w:r>
      <w:proofErr w:type="spellStart"/>
      <w:r w:rsidR="00C20864">
        <w:rPr>
          <w:rFonts w:ascii="Verdana" w:hAnsi="Verdana"/>
        </w:rPr>
        <w:t>rō</w:t>
      </w:r>
      <w:r w:rsidR="01689B1E" w:rsidRPr="64D0C8BE">
        <w:rPr>
          <w:rFonts w:ascii="Verdana" w:hAnsi="Verdana"/>
        </w:rPr>
        <w:t>pū</w:t>
      </w:r>
      <w:proofErr w:type="spellEnd"/>
      <w:r w:rsidR="65A88A4E" w:rsidRPr="64D0C8BE">
        <w:rPr>
          <w:rFonts w:ascii="Verdana" w:hAnsi="Verdana"/>
        </w:rPr>
        <w:t xml:space="preserve"> is fulfilling its intended purpose</w:t>
      </w:r>
      <w:r w:rsidR="27373C7B" w:rsidRPr="64D0C8BE">
        <w:rPr>
          <w:rFonts w:ascii="Verdana" w:hAnsi="Verdana"/>
        </w:rPr>
        <w:t xml:space="preserve">. </w:t>
      </w:r>
    </w:p>
    <w:sectPr w:rsidR="00377241" w:rsidRPr="00A50303" w:rsidSect="004B14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13B0" w14:textId="77777777" w:rsidR="001A7E7A" w:rsidRDefault="001A7E7A" w:rsidP="00A50303">
      <w:pPr>
        <w:spacing w:after="0" w:line="240" w:lineRule="auto"/>
      </w:pPr>
      <w:r>
        <w:separator/>
      </w:r>
    </w:p>
  </w:endnote>
  <w:endnote w:type="continuationSeparator" w:id="0">
    <w:p w14:paraId="169C1DE5" w14:textId="77777777" w:rsidR="001A7E7A" w:rsidRDefault="001A7E7A" w:rsidP="00A50303">
      <w:pPr>
        <w:spacing w:after="0" w:line="240" w:lineRule="auto"/>
      </w:pPr>
      <w:r>
        <w:continuationSeparator/>
      </w:r>
    </w:p>
  </w:endnote>
  <w:endnote w:type="continuationNotice" w:id="1">
    <w:p w14:paraId="1AF1293E" w14:textId="77777777" w:rsidR="001A7E7A" w:rsidRDefault="001A7E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ED30" w14:textId="77777777" w:rsidR="00A01E6B" w:rsidRDefault="00A01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0F9D" w14:textId="3C6F1CCF" w:rsidR="00BE7FE7" w:rsidRPr="00BE7FE7" w:rsidRDefault="2F964B79">
    <w:pPr>
      <w:pStyle w:val="Footer"/>
      <w:rPr>
        <w:rFonts w:ascii="Verdana" w:hAnsi="Verdana"/>
        <w:sz w:val="20"/>
        <w:szCs w:val="20"/>
        <w:lang w:val="en-NZ"/>
      </w:rPr>
    </w:pPr>
    <w:r w:rsidRPr="2F964B79">
      <w:rPr>
        <w:rFonts w:ascii="Verdana" w:hAnsi="Verdana"/>
        <w:sz w:val="20"/>
        <w:szCs w:val="20"/>
        <w:lang w:val="en-NZ"/>
      </w:rPr>
      <w:t>Terms of Reference: Whaikaha Accessibility Advisory Group Version 1</w:t>
    </w:r>
    <w:r w:rsidR="007D262E">
      <w:rPr>
        <w:rFonts w:ascii="Verdana" w:hAnsi="Verdana"/>
        <w:sz w:val="20"/>
        <w:szCs w:val="20"/>
        <w:lang w:val="en-NZ"/>
      </w:rPr>
      <w:t>8</w:t>
    </w:r>
    <w:r w:rsidRPr="2F964B79">
      <w:rPr>
        <w:rFonts w:ascii="Verdana" w:hAnsi="Verdana"/>
        <w:sz w:val="20"/>
        <w:szCs w:val="20"/>
        <w:lang w:val="en-NZ"/>
      </w:rPr>
      <w:t>0925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964B79" w14:paraId="291320A7" w14:textId="77777777" w:rsidTr="2F964B79">
      <w:trPr>
        <w:trHeight w:val="300"/>
      </w:trPr>
      <w:tc>
        <w:tcPr>
          <w:tcW w:w="3120" w:type="dxa"/>
        </w:tcPr>
        <w:p w14:paraId="727B50C8" w14:textId="4E5CAE2A" w:rsidR="2F964B79" w:rsidRDefault="2F964B79" w:rsidP="2F964B79">
          <w:pPr>
            <w:pStyle w:val="Header"/>
            <w:ind w:left="-115"/>
          </w:pPr>
        </w:p>
      </w:tc>
      <w:tc>
        <w:tcPr>
          <w:tcW w:w="3120" w:type="dxa"/>
        </w:tcPr>
        <w:p w14:paraId="763FC64D" w14:textId="0FBD61CF" w:rsidR="2F964B79" w:rsidRDefault="2F964B79" w:rsidP="2F964B79">
          <w:pPr>
            <w:pStyle w:val="Header"/>
            <w:jc w:val="center"/>
          </w:pPr>
        </w:p>
      </w:tc>
      <w:tc>
        <w:tcPr>
          <w:tcW w:w="3120" w:type="dxa"/>
        </w:tcPr>
        <w:p w14:paraId="7E0E91FF" w14:textId="74A6AA09" w:rsidR="2F964B79" w:rsidRDefault="2F964B79" w:rsidP="2F964B79">
          <w:pPr>
            <w:pStyle w:val="Header"/>
            <w:ind w:right="-115"/>
            <w:jc w:val="right"/>
          </w:pPr>
        </w:p>
      </w:tc>
    </w:tr>
  </w:tbl>
  <w:p w14:paraId="178E25F0" w14:textId="57B64AAA" w:rsidR="2F964B79" w:rsidRDefault="2F964B79" w:rsidP="2F964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443E" w14:textId="77777777" w:rsidR="001A7E7A" w:rsidRDefault="001A7E7A" w:rsidP="00A50303">
      <w:pPr>
        <w:spacing w:after="0" w:line="240" w:lineRule="auto"/>
      </w:pPr>
      <w:r>
        <w:separator/>
      </w:r>
    </w:p>
  </w:footnote>
  <w:footnote w:type="continuationSeparator" w:id="0">
    <w:p w14:paraId="4F3178DE" w14:textId="77777777" w:rsidR="001A7E7A" w:rsidRDefault="001A7E7A" w:rsidP="00A50303">
      <w:pPr>
        <w:spacing w:after="0" w:line="240" w:lineRule="auto"/>
      </w:pPr>
      <w:r>
        <w:continuationSeparator/>
      </w:r>
    </w:p>
  </w:footnote>
  <w:footnote w:type="continuationNotice" w:id="1">
    <w:p w14:paraId="11672CB2" w14:textId="77777777" w:rsidR="001A7E7A" w:rsidRDefault="001A7E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59E5" w14:textId="77777777" w:rsidR="00A01E6B" w:rsidRDefault="00A01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6378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3C343D" w14:textId="1B0E14D0" w:rsidR="00972F9E" w:rsidRDefault="00972F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BBA4E" w14:textId="77724133" w:rsidR="00CB0DD7" w:rsidRDefault="00CB0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A683" w14:textId="75D4418E" w:rsidR="00A50303" w:rsidRPr="00A50303" w:rsidRDefault="00A50303" w:rsidP="006E6C6D">
    <w:pPr>
      <w:pStyle w:val="Header"/>
      <w:rPr>
        <w:rFonts w:ascii="Verdana" w:hAnsi="Verdana"/>
        <w:sz w:val="20"/>
        <w:szCs w:val="20"/>
      </w:rPr>
    </w:pPr>
  </w:p>
  <w:p w14:paraId="060DE297" w14:textId="77777777" w:rsidR="00A50303" w:rsidRDefault="00A50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272F5E"/>
    <w:multiLevelType w:val="hybridMultilevel"/>
    <w:tmpl w:val="CF6E3592"/>
    <w:lvl w:ilvl="0" w:tplc="E39A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D0287"/>
    <w:multiLevelType w:val="hybridMultilevel"/>
    <w:tmpl w:val="74AC6F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738E3"/>
    <w:multiLevelType w:val="hybridMultilevel"/>
    <w:tmpl w:val="1A0A5960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60264"/>
    <w:multiLevelType w:val="hybridMultilevel"/>
    <w:tmpl w:val="AE0A43CC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7583A"/>
    <w:multiLevelType w:val="hybridMultilevel"/>
    <w:tmpl w:val="EDA2E9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E095E"/>
    <w:multiLevelType w:val="hybridMultilevel"/>
    <w:tmpl w:val="6986D3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2756C"/>
    <w:multiLevelType w:val="hybridMultilevel"/>
    <w:tmpl w:val="EC2265BA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E2C58"/>
    <w:multiLevelType w:val="hybridMultilevel"/>
    <w:tmpl w:val="C7E8A8B2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7940"/>
    <w:multiLevelType w:val="hybridMultilevel"/>
    <w:tmpl w:val="AECA167E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C7FBF"/>
    <w:multiLevelType w:val="hybridMultilevel"/>
    <w:tmpl w:val="48D0D170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60B76"/>
    <w:multiLevelType w:val="hybridMultilevel"/>
    <w:tmpl w:val="F30A5588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F2B37"/>
    <w:multiLevelType w:val="hybridMultilevel"/>
    <w:tmpl w:val="17CE9118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157FE"/>
    <w:multiLevelType w:val="hybridMultilevel"/>
    <w:tmpl w:val="EA2A0E20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B2C87"/>
    <w:multiLevelType w:val="hybridMultilevel"/>
    <w:tmpl w:val="D732350E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7B9"/>
    <w:multiLevelType w:val="hybridMultilevel"/>
    <w:tmpl w:val="8DE61156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23E78"/>
    <w:multiLevelType w:val="hybridMultilevel"/>
    <w:tmpl w:val="A31845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6070F"/>
    <w:multiLevelType w:val="hybridMultilevel"/>
    <w:tmpl w:val="5E6CEE54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C203F"/>
    <w:multiLevelType w:val="hybridMultilevel"/>
    <w:tmpl w:val="9CF28688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8508A"/>
    <w:multiLevelType w:val="hybridMultilevel"/>
    <w:tmpl w:val="E82CA6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313EE"/>
    <w:multiLevelType w:val="hybridMultilevel"/>
    <w:tmpl w:val="6BC4C582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870B5"/>
    <w:multiLevelType w:val="hybridMultilevel"/>
    <w:tmpl w:val="23888FC8"/>
    <w:lvl w:ilvl="0" w:tplc="B3AE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B4491"/>
    <w:multiLevelType w:val="hybridMultilevel"/>
    <w:tmpl w:val="6D6679DC"/>
    <w:lvl w:ilvl="0" w:tplc="E39A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D1780"/>
    <w:multiLevelType w:val="hybridMultilevel"/>
    <w:tmpl w:val="80BC3DA6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06B44"/>
    <w:multiLevelType w:val="hybridMultilevel"/>
    <w:tmpl w:val="61405D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4191D"/>
    <w:multiLevelType w:val="hybridMultilevel"/>
    <w:tmpl w:val="3EE64D4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9EC18AF"/>
    <w:multiLevelType w:val="hybridMultilevel"/>
    <w:tmpl w:val="3F867A40"/>
    <w:lvl w:ilvl="0" w:tplc="F7DC7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17977">
    <w:abstractNumId w:val="8"/>
  </w:num>
  <w:num w:numId="2" w16cid:durableId="116266680">
    <w:abstractNumId w:val="6"/>
  </w:num>
  <w:num w:numId="3" w16cid:durableId="1405713013">
    <w:abstractNumId w:val="5"/>
  </w:num>
  <w:num w:numId="4" w16cid:durableId="1864202560">
    <w:abstractNumId w:val="4"/>
  </w:num>
  <w:num w:numId="5" w16cid:durableId="292252223">
    <w:abstractNumId w:val="7"/>
  </w:num>
  <w:num w:numId="6" w16cid:durableId="1602488708">
    <w:abstractNumId w:val="3"/>
  </w:num>
  <w:num w:numId="7" w16cid:durableId="1214122254">
    <w:abstractNumId w:val="2"/>
  </w:num>
  <w:num w:numId="8" w16cid:durableId="2103791093">
    <w:abstractNumId w:val="1"/>
  </w:num>
  <w:num w:numId="9" w16cid:durableId="648746444">
    <w:abstractNumId w:val="0"/>
  </w:num>
  <w:num w:numId="10" w16cid:durableId="98529726">
    <w:abstractNumId w:val="23"/>
  </w:num>
  <w:num w:numId="11" w16cid:durableId="1861041844">
    <w:abstractNumId w:val="25"/>
  </w:num>
  <w:num w:numId="12" w16cid:durableId="1057512275">
    <w:abstractNumId w:val="15"/>
  </w:num>
  <w:num w:numId="13" w16cid:durableId="181628434">
    <w:abstractNumId w:val="26"/>
  </w:num>
  <w:num w:numId="14" w16cid:durableId="358624446">
    <w:abstractNumId w:val="18"/>
  </w:num>
  <w:num w:numId="15" w16cid:durableId="548034346">
    <w:abstractNumId w:val="17"/>
  </w:num>
  <w:num w:numId="16" w16cid:durableId="2139906140">
    <w:abstractNumId w:val="31"/>
  </w:num>
  <w:num w:numId="17" w16cid:durableId="154687857">
    <w:abstractNumId w:val="34"/>
  </w:num>
  <w:num w:numId="18" w16cid:durableId="216626222">
    <w:abstractNumId w:val="21"/>
  </w:num>
  <w:num w:numId="19" w16cid:durableId="2016036177">
    <w:abstractNumId w:val="28"/>
  </w:num>
  <w:num w:numId="20" w16cid:durableId="460421578">
    <w:abstractNumId w:val="11"/>
  </w:num>
  <w:num w:numId="21" w16cid:durableId="628127217">
    <w:abstractNumId w:val="9"/>
  </w:num>
  <w:num w:numId="22" w16cid:durableId="580062511">
    <w:abstractNumId w:val="30"/>
  </w:num>
  <w:num w:numId="23" w16cid:durableId="103156363">
    <w:abstractNumId w:val="14"/>
  </w:num>
  <w:num w:numId="24" w16cid:durableId="1751149559">
    <w:abstractNumId w:val="32"/>
  </w:num>
  <w:num w:numId="25" w16cid:durableId="395011763">
    <w:abstractNumId w:val="10"/>
  </w:num>
  <w:num w:numId="26" w16cid:durableId="1867056434">
    <w:abstractNumId w:val="19"/>
  </w:num>
  <w:num w:numId="27" w16cid:durableId="86077228">
    <w:abstractNumId w:val="16"/>
  </w:num>
  <w:num w:numId="28" w16cid:durableId="2052417606">
    <w:abstractNumId w:val="12"/>
  </w:num>
  <w:num w:numId="29" w16cid:durableId="1237399143">
    <w:abstractNumId w:val="20"/>
  </w:num>
  <w:num w:numId="30" w16cid:durableId="1666400853">
    <w:abstractNumId w:val="29"/>
  </w:num>
  <w:num w:numId="31" w16cid:durableId="1946182177">
    <w:abstractNumId w:val="22"/>
  </w:num>
  <w:num w:numId="32" w16cid:durableId="1506627255">
    <w:abstractNumId w:val="13"/>
  </w:num>
  <w:num w:numId="33" w16cid:durableId="824277596">
    <w:abstractNumId w:val="24"/>
  </w:num>
  <w:num w:numId="34" w16cid:durableId="82606004">
    <w:abstractNumId w:val="33"/>
  </w:num>
  <w:num w:numId="35" w16cid:durableId="20145328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53F"/>
    <w:rsid w:val="0009639B"/>
    <w:rsid w:val="000E4F8A"/>
    <w:rsid w:val="00121CBC"/>
    <w:rsid w:val="0015074B"/>
    <w:rsid w:val="00172CB0"/>
    <w:rsid w:val="001755E9"/>
    <w:rsid w:val="001A7E7A"/>
    <w:rsid w:val="001C5E14"/>
    <w:rsid w:val="001C65C3"/>
    <w:rsid w:val="001F50D4"/>
    <w:rsid w:val="0021313B"/>
    <w:rsid w:val="002622EC"/>
    <w:rsid w:val="002933D9"/>
    <w:rsid w:val="0029639D"/>
    <w:rsid w:val="002D5454"/>
    <w:rsid w:val="002F75F5"/>
    <w:rsid w:val="0032597F"/>
    <w:rsid w:val="00326F90"/>
    <w:rsid w:val="0033188D"/>
    <w:rsid w:val="003600D9"/>
    <w:rsid w:val="00371328"/>
    <w:rsid w:val="00377241"/>
    <w:rsid w:val="00382921"/>
    <w:rsid w:val="003D21CB"/>
    <w:rsid w:val="004202A0"/>
    <w:rsid w:val="004217C7"/>
    <w:rsid w:val="004A6E68"/>
    <w:rsid w:val="004B145E"/>
    <w:rsid w:val="004C7892"/>
    <w:rsid w:val="004D523E"/>
    <w:rsid w:val="004D6759"/>
    <w:rsid w:val="004E7D2E"/>
    <w:rsid w:val="004F47CD"/>
    <w:rsid w:val="004F7E54"/>
    <w:rsid w:val="00500AC7"/>
    <w:rsid w:val="00540983"/>
    <w:rsid w:val="005620C2"/>
    <w:rsid w:val="00571D52"/>
    <w:rsid w:val="005A3B46"/>
    <w:rsid w:val="005C083D"/>
    <w:rsid w:val="005E7411"/>
    <w:rsid w:val="00603952"/>
    <w:rsid w:val="006157CC"/>
    <w:rsid w:val="00625921"/>
    <w:rsid w:val="00633553"/>
    <w:rsid w:val="00636D90"/>
    <w:rsid w:val="00650154"/>
    <w:rsid w:val="006E6C6D"/>
    <w:rsid w:val="006F737D"/>
    <w:rsid w:val="00707810"/>
    <w:rsid w:val="0071321B"/>
    <w:rsid w:val="007144A6"/>
    <w:rsid w:val="00714D9E"/>
    <w:rsid w:val="00766701"/>
    <w:rsid w:val="00775F4C"/>
    <w:rsid w:val="00780846"/>
    <w:rsid w:val="007D262E"/>
    <w:rsid w:val="007D7066"/>
    <w:rsid w:val="0081107C"/>
    <w:rsid w:val="00812A7F"/>
    <w:rsid w:val="008374C6"/>
    <w:rsid w:val="00867F95"/>
    <w:rsid w:val="00874889"/>
    <w:rsid w:val="008B7F97"/>
    <w:rsid w:val="008D49FD"/>
    <w:rsid w:val="00903404"/>
    <w:rsid w:val="00904403"/>
    <w:rsid w:val="00906029"/>
    <w:rsid w:val="009245D2"/>
    <w:rsid w:val="00945EF7"/>
    <w:rsid w:val="00947179"/>
    <w:rsid w:val="009656FC"/>
    <w:rsid w:val="00972F9E"/>
    <w:rsid w:val="00993651"/>
    <w:rsid w:val="009C2A41"/>
    <w:rsid w:val="009C4055"/>
    <w:rsid w:val="00A01E6B"/>
    <w:rsid w:val="00A120F0"/>
    <w:rsid w:val="00A133F3"/>
    <w:rsid w:val="00A23EC0"/>
    <w:rsid w:val="00A50303"/>
    <w:rsid w:val="00AA1D8D"/>
    <w:rsid w:val="00AC1059"/>
    <w:rsid w:val="00AC2AA6"/>
    <w:rsid w:val="00B47730"/>
    <w:rsid w:val="00BA2925"/>
    <w:rsid w:val="00BA58A8"/>
    <w:rsid w:val="00BB58B1"/>
    <w:rsid w:val="00BC13FA"/>
    <w:rsid w:val="00BE1D94"/>
    <w:rsid w:val="00BE4F9C"/>
    <w:rsid w:val="00BE7FE7"/>
    <w:rsid w:val="00C20864"/>
    <w:rsid w:val="00C302AC"/>
    <w:rsid w:val="00C759A5"/>
    <w:rsid w:val="00CB0664"/>
    <w:rsid w:val="00CB0DD7"/>
    <w:rsid w:val="00CF2323"/>
    <w:rsid w:val="00CF2904"/>
    <w:rsid w:val="00D0002A"/>
    <w:rsid w:val="00D10B3B"/>
    <w:rsid w:val="00D22C60"/>
    <w:rsid w:val="00D55250"/>
    <w:rsid w:val="00D57363"/>
    <w:rsid w:val="00D7008B"/>
    <w:rsid w:val="00DD1E30"/>
    <w:rsid w:val="00E04591"/>
    <w:rsid w:val="00E05785"/>
    <w:rsid w:val="00E83C8D"/>
    <w:rsid w:val="00EB3650"/>
    <w:rsid w:val="00EC0BB2"/>
    <w:rsid w:val="00F00F01"/>
    <w:rsid w:val="00F77060"/>
    <w:rsid w:val="00FC693F"/>
    <w:rsid w:val="00FF4665"/>
    <w:rsid w:val="00FF6BE9"/>
    <w:rsid w:val="01286C4F"/>
    <w:rsid w:val="01689B1E"/>
    <w:rsid w:val="01EA6E5E"/>
    <w:rsid w:val="01F17F0A"/>
    <w:rsid w:val="02B0F5BF"/>
    <w:rsid w:val="0353F009"/>
    <w:rsid w:val="045B2FE2"/>
    <w:rsid w:val="04C60409"/>
    <w:rsid w:val="05AF44F0"/>
    <w:rsid w:val="06A820A6"/>
    <w:rsid w:val="089669A5"/>
    <w:rsid w:val="0917D901"/>
    <w:rsid w:val="0A60FAD6"/>
    <w:rsid w:val="0BFCD993"/>
    <w:rsid w:val="0C140312"/>
    <w:rsid w:val="0CD9432E"/>
    <w:rsid w:val="0CF33381"/>
    <w:rsid w:val="0D7776DA"/>
    <w:rsid w:val="0DA4AA2A"/>
    <w:rsid w:val="0EF6C178"/>
    <w:rsid w:val="0F8A3A2A"/>
    <w:rsid w:val="0FD34D6A"/>
    <w:rsid w:val="10154444"/>
    <w:rsid w:val="1417F394"/>
    <w:rsid w:val="14416ABD"/>
    <w:rsid w:val="183B3C33"/>
    <w:rsid w:val="189783C1"/>
    <w:rsid w:val="1897A924"/>
    <w:rsid w:val="18B79FA1"/>
    <w:rsid w:val="18CC6042"/>
    <w:rsid w:val="1923AB63"/>
    <w:rsid w:val="1999D286"/>
    <w:rsid w:val="1A4F2247"/>
    <w:rsid w:val="1B0D5BB8"/>
    <w:rsid w:val="1B1378AC"/>
    <w:rsid w:val="1B4EE3D3"/>
    <w:rsid w:val="1D036666"/>
    <w:rsid w:val="1ECDBBC8"/>
    <w:rsid w:val="205B4300"/>
    <w:rsid w:val="21213F91"/>
    <w:rsid w:val="226DC258"/>
    <w:rsid w:val="2402CAA8"/>
    <w:rsid w:val="2410A2B2"/>
    <w:rsid w:val="25CD30C1"/>
    <w:rsid w:val="27373C7B"/>
    <w:rsid w:val="283FB6F6"/>
    <w:rsid w:val="28ADFBFA"/>
    <w:rsid w:val="28F6F5FF"/>
    <w:rsid w:val="29524B4F"/>
    <w:rsid w:val="295D4E41"/>
    <w:rsid w:val="2AF97F4E"/>
    <w:rsid w:val="2B3269F7"/>
    <w:rsid w:val="2BD9F730"/>
    <w:rsid w:val="2BFE2865"/>
    <w:rsid w:val="2C9F4D01"/>
    <w:rsid w:val="2CD124B5"/>
    <w:rsid w:val="2EA65D28"/>
    <w:rsid w:val="2EC0E9AF"/>
    <w:rsid w:val="2F2F341F"/>
    <w:rsid w:val="2F3BE504"/>
    <w:rsid w:val="2F964B79"/>
    <w:rsid w:val="2FF311B0"/>
    <w:rsid w:val="3155E748"/>
    <w:rsid w:val="31F50CAE"/>
    <w:rsid w:val="320EFB8A"/>
    <w:rsid w:val="3257B5D8"/>
    <w:rsid w:val="32EC3154"/>
    <w:rsid w:val="3308A653"/>
    <w:rsid w:val="33AFA301"/>
    <w:rsid w:val="34361F53"/>
    <w:rsid w:val="34988BFC"/>
    <w:rsid w:val="353B4E75"/>
    <w:rsid w:val="35657F13"/>
    <w:rsid w:val="357F966A"/>
    <w:rsid w:val="35B43891"/>
    <w:rsid w:val="35F77B7F"/>
    <w:rsid w:val="360472D9"/>
    <w:rsid w:val="36094569"/>
    <w:rsid w:val="3622F484"/>
    <w:rsid w:val="37DD4611"/>
    <w:rsid w:val="38737C76"/>
    <w:rsid w:val="394ABD78"/>
    <w:rsid w:val="39C472F8"/>
    <w:rsid w:val="3A04B37D"/>
    <w:rsid w:val="3A227D3A"/>
    <w:rsid w:val="3ADCF940"/>
    <w:rsid w:val="3AE0BB7E"/>
    <w:rsid w:val="3B1AD82E"/>
    <w:rsid w:val="3BC77D47"/>
    <w:rsid w:val="3EF269E1"/>
    <w:rsid w:val="3F0F70EA"/>
    <w:rsid w:val="3FA9B4B7"/>
    <w:rsid w:val="40582D2E"/>
    <w:rsid w:val="414EA476"/>
    <w:rsid w:val="41872FCE"/>
    <w:rsid w:val="41B62463"/>
    <w:rsid w:val="424E56B1"/>
    <w:rsid w:val="4309D6F0"/>
    <w:rsid w:val="443DEFCD"/>
    <w:rsid w:val="4595A040"/>
    <w:rsid w:val="45D880AA"/>
    <w:rsid w:val="4892C4B9"/>
    <w:rsid w:val="490001B0"/>
    <w:rsid w:val="49889F58"/>
    <w:rsid w:val="4A9CFE85"/>
    <w:rsid w:val="4B98D0A6"/>
    <w:rsid w:val="4BD0EF77"/>
    <w:rsid w:val="4C7CDCC0"/>
    <w:rsid w:val="4CDA20D0"/>
    <w:rsid w:val="4E5BB697"/>
    <w:rsid w:val="4E84884E"/>
    <w:rsid w:val="4EE30F68"/>
    <w:rsid w:val="4FE01D0E"/>
    <w:rsid w:val="4FF0F957"/>
    <w:rsid w:val="5165AD4D"/>
    <w:rsid w:val="51B34E68"/>
    <w:rsid w:val="53CB29DE"/>
    <w:rsid w:val="557F47A3"/>
    <w:rsid w:val="582642C4"/>
    <w:rsid w:val="589A0153"/>
    <w:rsid w:val="5952DA29"/>
    <w:rsid w:val="5AAAA5B6"/>
    <w:rsid w:val="5ADD1A28"/>
    <w:rsid w:val="5CBD4DA0"/>
    <w:rsid w:val="5ED48AE8"/>
    <w:rsid w:val="606F478A"/>
    <w:rsid w:val="60B729B9"/>
    <w:rsid w:val="60CC7D72"/>
    <w:rsid w:val="61328247"/>
    <w:rsid w:val="62383644"/>
    <w:rsid w:val="626C30F7"/>
    <w:rsid w:val="63980D1E"/>
    <w:rsid w:val="649FCD20"/>
    <w:rsid w:val="64D0C8BE"/>
    <w:rsid w:val="6590A732"/>
    <w:rsid w:val="6593FA47"/>
    <w:rsid w:val="65A88A4E"/>
    <w:rsid w:val="665B09F3"/>
    <w:rsid w:val="68FD8717"/>
    <w:rsid w:val="69E540DC"/>
    <w:rsid w:val="6A16C8F3"/>
    <w:rsid w:val="6A1F09AB"/>
    <w:rsid w:val="6B01DF0D"/>
    <w:rsid w:val="6B85CDFE"/>
    <w:rsid w:val="6C1C4D22"/>
    <w:rsid w:val="6C2A50BD"/>
    <w:rsid w:val="6C4E9C1D"/>
    <w:rsid w:val="6C9582EA"/>
    <w:rsid w:val="6CA6A967"/>
    <w:rsid w:val="6CFA0F63"/>
    <w:rsid w:val="6E1768F5"/>
    <w:rsid w:val="6E5BE755"/>
    <w:rsid w:val="6FDCF9BD"/>
    <w:rsid w:val="7105765A"/>
    <w:rsid w:val="71C20FC1"/>
    <w:rsid w:val="72012543"/>
    <w:rsid w:val="739BB4F5"/>
    <w:rsid w:val="73C305EB"/>
    <w:rsid w:val="744004D6"/>
    <w:rsid w:val="74C02422"/>
    <w:rsid w:val="754C7FCA"/>
    <w:rsid w:val="77595276"/>
    <w:rsid w:val="77D6C745"/>
    <w:rsid w:val="77E76939"/>
    <w:rsid w:val="78DF0E18"/>
    <w:rsid w:val="797CEA71"/>
    <w:rsid w:val="7A9181EF"/>
    <w:rsid w:val="7AA710D1"/>
    <w:rsid w:val="7B0F05F7"/>
    <w:rsid w:val="7B170CEA"/>
    <w:rsid w:val="7B3EA83F"/>
    <w:rsid w:val="7E0B8210"/>
    <w:rsid w:val="7F1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88EB4"/>
  <w14:defaultImageDpi w14:val="300"/>
  <w15:docId w15:val="{EE28D1B0-736E-48E4-90CF-2BEC5BCD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Bullets,Rec para,Recommendation,List Paragraph11,Dot pt,F5 List Paragraph,No Spacing1,List Paragraph Char Char Char,Indicator Text,Numbered Para 1,Colorful List - Accent 11,Bullet 1,MAIN CONTENT,List Paragraph12,OBC Bulle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ParagraphChar">
    <w:name w:val="List Paragraph Char"/>
    <w:aliases w:val="Bullets Char,Rec para Char,Recommendation Char,List Paragraph11 Char,Dot pt Char,F5 List Paragraph Char,No Spacing1 Char,List Paragraph Char Char Char Char,Indicator Text Char,Numbered Para 1 Char,Colorful List - Accent 11 Char"/>
    <w:basedOn w:val="DefaultParagraphFont"/>
    <w:link w:val="ListParagraph"/>
    <w:uiPriority w:val="34"/>
    <w:locked/>
    <w:rsid w:val="004B145E"/>
  </w:style>
  <w:style w:type="paragraph" w:styleId="NormalWeb">
    <w:name w:val="Normal (Web)"/>
    <w:basedOn w:val="Normal"/>
    <w:uiPriority w:val="99"/>
    <w:semiHidden/>
    <w:unhideWhenUsed/>
    <w:rsid w:val="00CB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1E3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32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23EC0"/>
  </w:style>
  <w:style w:type="character" w:customStyle="1" w:styleId="eop">
    <w:name w:val="eop"/>
    <w:basedOn w:val="DefaultParagraphFont"/>
    <w:rsid w:val="00A23EC0"/>
  </w:style>
  <w:style w:type="paragraph" w:customStyle="1" w:styleId="paragraph">
    <w:name w:val="paragraph"/>
    <w:basedOn w:val="Normal"/>
    <w:rsid w:val="00EB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3845AA5E63B45AFD79095EE223CAB" ma:contentTypeVersion="6" ma:contentTypeDescription="Create a new document." ma:contentTypeScope="" ma:versionID="7e32cd40a389f3f023bb5c5bc2ee8933">
  <xsd:schema xmlns:xsd="http://www.w3.org/2001/XMLSchema" xmlns:xs="http://www.w3.org/2001/XMLSchema" xmlns:p="http://schemas.microsoft.com/office/2006/metadata/properties" xmlns:ns1="http://schemas.microsoft.com/sharepoint/v3" xmlns:ns2="361de0cf-f0ad-427e-92ef-ed0a58ba3287" xmlns:ns3="53119fab-c8ff-4a03-ab54-00a03737b1eb" targetNamespace="http://schemas.microsoft.com/office/2006/metadata/properties" ma:root="true" ma:fieldsID="386adc240d3112af7af7b630c4dcc96c" ns1:_="" ns2:_="" ns3:_="">
    <xsd:import namespace="http://schemas.microsoft.com/sharepoint/v3"/>
    <xsd:import namespace="361de0cf-f0ad-427e-92ef-ed0a58ba3287"/>
    <xsd:import namespace="53119fab-c8ff-4a03-ab54-00a03737b1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de0cf-f0ad-427e-92ef-ed0a58ba32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9fab-c8ff-4a03-ab54-00a03737b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361de0cf-f0ad-427e-92ef-ed0a58ba3287">INFO-383298788-1294</_dlc_DocId>
    <_dlc_DocIdUrl xmlns="361de0cf-f0ad-427e-92ef-ed0a58ba3287">
      <Url>https://msdgovtnz.sharepoint.com/sites/whaikaha-WRK-Outreach-and-Innovation/_layouts/15/DocIdRedir.aspx?ID=INFO-383298788-1294</Url>
      <Description>INFO-383298788-1294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61F43D-06EE-4A27-8B6F-CF4FD4558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B38A9-F1D6-4DAB-AFB8-F5A9A8B89D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EF40D2-136E-40AF-B06F-0B376CFA7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1de0cf-f0ad-427e-92ef-ed0a58ba3287"/>
    <ds:schemaRef ds:uri="53119fab-c8ff-4a03-ab54-00a03737b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237F8-320C-49CE-B481-0154A179E7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1de0cf-f0ad-427e-92ef-ed0a58ba3287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6791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Jade Lock</cp:lastModifiedBy>
  <cp:revision>2</cp:revision>
  <dcterms:created xsi:type="dcterms:W3CDTF">2025-10-16T03:18:00Z</dcterms:created>
  <dcterms:modified xsi:type="dcterms:W3CDTF">2025-10-16T03:18:00Z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477774b4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ContentTypeId">
    <vt:lpwstr>0x0101000E43845AA5E63B45AFD79095EE223CAB</vt:lpwstr>
  </property>
  <property fmtid="{D5CDD505-2E9C-101B-9397-08002B2CF9AE}" pid="6" name="_dlc_DocIdItemGuid">
    <vt:lpwstr>4b1ab244-ec5d-4573-af8b-1227988aab4c</vt:lpwstr>
  </property>
  <property fmtid="{D5CDD505-2E9C-101B-9397-08002B2CF9AE}" pid="7" name="docLang">
    <vt:lpwstr>en</vt:lpwstr>
  </property>
  <property fmtid="{D5CDD505-2E9C-101B-9397-08002B2CF9AE}" pid="8" name="MSIP_Label_5a96e5af-8d67-4c00-8226-9513c2a2e5a4_Enabled">
    <vt:lpwstr>true</vt:lpwstr>
  </property>
  <property fmtid="{D5CDD505-2E9C-101B-9397-08002B2CF9AE}" pid="9" name="MSIP_Label_5a96e5af-8d67-4c00-8226-9513c2a2e5a4_SetDate">
    <vt:lpwstr>2025-09-17T22:42:56Z</vt:lpwstr>
  </property>
  <property fmtid="{D5CDD505-2E9C-101B-9397-08002B2CF9AE}" pid="10" name="MSIP_Label_5a96e5af-8d67-4c00-8226-9513c2a2e5a4_Method">
    <vt:lpwstr>Privileged</vt:lpwstr>
  </property>
  <property fmtid="{D5CDD505-2E9C-101B-9397-08002B2CF9AE}" pid="11" name="MSIP_Label_5a96e5af-8d67-4c00-8226-9513c2a2e5a4_Name">
    <vt:lpwstr>Unclassified</vt:lpwstr>
  </property>
  <property fmtid="{D5CDD505-2E9C-101B-9397-08002B2CF9AE}" pid="12" name="MSIP_Label_5a96e5af-8d67-4c00-8226-9513c2a2e5a4_SiteId">
    <vt:lpwstr>e40c4f52-99bd-4d4f-bf7e-d001a2ca6556</vt:lpwstr>
  </property>
  <property fmtid="{D5CDD505-2E9C-101B-9397-08002B2CF9AE}" pid="13" name="MSIP_Label_5a96e5af-8d67-4c00-8226-9513c2a2e5a4_ActionId">
    <vt:lpwstr>8c52cf29-0432-43cf-8316-0903dacd3712</vt:lpwstr>
  </property>
  <property fmtid="{D5CDD505-2E9C-101B-9397-08002B2CF9AE}" pid="14" name="MSIP_Label_5a96e5af-8d67-4c00-8226-9513c2a2e5a4_ContentBits">
    <vt:lpwstr>0</vt:lpwstr>
  </property>
  <property fmtid="{D5CDD505-2E9C-101B-9397-08002B2CF9AE}" pid="15" name="MSIP_Label_5a96e5af-8d67-4c00-8226-9513c2a2e5a4_Tag">
    <vt:lpwstr>10, 0, 1, 1</vt:lpwstr>
  </property>
</Properties>
</file>