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5A9" w:rsidRDefault="00E64FBD" w:rsidP="00320CC4">
      <w:pPr>
        <w:pStyle w:val="HChG"/>
        <w:keepNext w:val="0"/>
        <w:widowControl w:val="0"/>
        <w:spacing w:line="240" w:lineRule="auto"/>
        <w:jc w:val="both"/>
        <w:rPr>
          <w:lang w:val="en-NZ"/>
        </w:rPr>
      </w:pPr>
      <w:bookmarkStart w:id="0" w:name="_GoBack"/>
      <w:bookmarkEnd w:id="0"/>
      <w:r w:rsidRPr="00237D85">
        <w:rPr>
          <w:lang w:val="en-NZ"/>
        </w:rPr>
        <w:tab/>
      </w:r>
      <w:r w:rsidRPr="00237D85">
        <w:rPr>
          <w:lang w:val="en-NZ"/>
        </w:rPr>
        <w:tab/>
      </w:r>
    </w:p>
    <w:p w:rsidR="00E64FBD" w:rsidRPr="00237D85" w:rsidRDefault="006C14F1" w:rsidP="00320CC4">
      <w:pPr>
        <w:pStyle w:val="HChG"/>
        <w:keepNext w:val="0"/>
        <w:widowControl w:val="0"/>
        <w:spacing w:line="240" w:lineRule="auto"/>
        <w:ind w:left="2268"/>
        <w:jc w:val="both"/>
        <w:rPr>
          <w:b w:val="0"/>
          <w:bCs/>
          <w:sz w:val="20"/>
          <w:lang w:val="en-NZ"/>
        </w:rPr>
      </w:pPr>
      <w:r>
        <w:rPr>
          <w:lang w:val="en-NZ"/>
        </w:rPr>
        <w:t>The New Zealand Government’s response</w:t>
      </w:r>
      <w:r w:rsidR="00795781">
        <w:rPr>
          <w:lang w:val="en-NZ"/>
        </w:rPr>
        <w:t xml:space="preserve"> </w:t>
      </w:r>
      <w:r w:rsidR="00E64FBD" w:rsidRPr="00237D85">
        <w:rPr>
          <w:lang w:val="en-NZ"/>
        </w:rPr>
        <w:t xml:space="preserve">to </w:t>
      </w:r>
      <w:r w:rsidR="00ED1665">
        <w:rPr>
          <w:lang w:val="en-NZ"/>
        </w:rPr>
        <w:t>‘</w:t>
      </w:r>
      <w:r w:rsidR="00E64FBD" w:rsidRPr="00237D85">
        <w:rPr>
          <w:lang w:val="en-NZ"/>
        </w:rPr>
        <w:t xml:space="preserve">the </w:t>
      </w:r>
      <w:r w:rsidR="00ED1665">
        <w:rPr>
          <w:lang w:val="en-NZ"/>
        </w:rPr>
        <w:t>l</w:t>
      </w:r>
      <w:r w:rsidR="00E64FBD" w:rsidRPr="00237D85">
        <w:rPr>
          <w:lang w:val="en-NZ"/>
        </w:rPr>
        <w:t>ist of issues</w:t>
      </w:r>
      <w:r w:rsidR="005D2EB2" w:rsidRPr="005D2EB2">
        <w:t xml:space="preserve"> </w:t>
      </w:r>
      <w:r w:rsidR="005D2EB2">
        <w:t xml:space="preserve">prior to submission of </w:t>
      </w:r>
      <w:r w:rsidR="005D2EB2" w:rsidRPr="00E921B8">
        <w:t xml:space="preserve">the combined second and third periodic </w:t>
      </w:r>
      <w:r w:rsidR="00D30B84">
        <w:t xml:space="preserve">review </w:t>
      </w:r>
      <w:r w:rsidR="005D2EB2">
        <w:t>of New Zealand’</w:t>
      </w:r>
      <w:r w:rsidR="00E64FBD" w:rsidRPr="00237D85">
        <w:rPr>
          <w:rStyle w:val="FootnoteReference"/>
          <w:b w:val="0"/>
          <w:bCs/>
          <w:sz w:val="20"/>
          <w:vertAlign w:val="baseline"/>
          <w:lang w:val="en-NZ"/>
        </w:rPr>
        <w:footnoteReference w:customMarkFollows="1" w:id="1"/>
        <w:t>*</w:t>
      </w:r>
    </w:p>
    <w:p w:rsidR="00E25340" w:rsidRPr="00237D85" w:rsidRDefault="00E25340" w:rsidP="00320CC4">
      <w:pPr>
        <w:widowControl w:val="0"/>
        <w:spacing w:line="240" w:lineRule="auto"/>
        <w:jc w:val="both"/>
        <w:rPr>
          <w:lang w:val="en-NZ"/>
        </w:rPr>
      </w:pPr>
    </w:p>
    <w:p w:rsidR="0086490F" w:rsidRDefault="0086490F" w:rsidP="00320CC4">
      <w:pPr>
        <w:pStyle w:val="SingleTxtG"/>
        <w:widowControl w:val="0"/>
        <w:spacing w:line="240" w:lineRule="auto"/>
        <w:rPr>
          <w:lang w:val="en-NZ"/>
        </w:rPr>
      </w:pPr>
    </w:p>
    <w:p w:rsidR="00E64FBD" w:rsidRPr="00237D85" w:rsidRDefault="00E64FBD" w:rsidP="00320CC4">
      <w:pPr>
        <w:widowControl w:val="0"/>
        <w:spacing w:line="240" w:lineRule="auto"/>
        <w:jc w:val="both"/>
        <w:rPr>
          <w:lang w:val="en-NZ"/>
        </w:rPr>
      </w:pPr>
    </w:p>
    <w:p w:rsidR="00E64FBD" w:rsidRPr="00237D85" w:rsidRDefault="00E64FBD" w:rsidP="00320CC4">
      <w:pPr>
        <w:widowControl w:val="0"/>
        <w:spacing w:line="240" w:lineRule="auto"/>
        <w:jc w:val="both"/>
        <w:rPr>
          <w:lang w:val="en-NZ"/>
        </w:rPr>
      </w:pPr>
    </w:p>
    <w:p w:rsidR="00E64FBD" w:rsidRPr="00237D85" w:rsidRDefault="00E64FBD" w:rsidP="00320CC4">
      <w:pPr>
        <w:widowControl w:val="0"/>
        <w:spacing w:line="240" w:lineRule="auto"/>
        <w:jc w:val="both"/>
        <w:rPr>
          <w:lang w:val="en-NZ"/>
        </w:rPr>
      </w:pPr>
    </w:p>
    <w:p w:rsidR="00E64FBD" w:rsidRPr="00237D85" w:rsidRDefault="00E64FBD" w:rsidP="00320CC4">
      <w:pPr>
        <w:widowControl w:val="0"/>
        <w:spacing w:line="240" w:lineRule="auto"/>
        <w:jc w:val="both"/>
        <w:rPr>
          <w:lang w:val="en-NZ"/>
        </w:rPr>
      </w:pPr>
    </w:p>
    <w:p w:rsidR="00B24CC2" w:rsidRPr="00237D85" w:rsidRDefault="00B24CC2" w:rsidP="00320CC4">
      <w:pPr>
        <w:widowControl w:val="0"/>
        <w:spacing w:line="240" w:lineRule="auto"/>
        <w:jc w:val="both"/>
        <w:rPr>
          <w:lang w:val="en-NZ"/>
        </w:rPr>
      </w:pPr>
    </w:p>
    <w:p w:rsidR="00B24CC2" w:rsidRPr="00237D85" w:rsidRDefault="00B24CC2" w:rsidP="00320CC4">
      <w:pPr>
        <w:widowControl w:val="0"/>
        <w:spacing w:line="240" w:lineRule="auto"/>
        <w:jc w:val="both"/>
        <w:rPr>
          <w:lang w:val="en-NZ"/>
        </w:rPr>
      </w:pPr>
    </w:p>
    <w:p w:rsidR="00B24CC2" w:rsidRPr="00237D85" w:rsidRDefault="00B24CC2" w:rsidP="00320CC4">
      <w:pPr>
        <w:widowControl w:val="0"/>
        <w:suppressAutoHyphens w:val="0"/>
        <w:spacing w:line="240" w:lineRule="auto"/>
        <w:jc w:val="both"/>
        <w:rPr>
          <w:lang w:val="en-NZ"/>
        </w:rPr>
      </w:pPr>
      <w:r w:rsidRPr="00237D85">
        <w:rPr>
          <w:lang w:val="en-NZ"/>
        </w:rPr>
        <w:br w:type="page"/>
      </w:r>
    </w:p>
    <w:p w:rsidR="009F42BA" w:rsidRDefault="009F42BA" w:rsidP="00320CC4">
      <w:pPr>
        <w:pStyle w:val="HChG"/>
        <w:keepNext w:val="0"/>
        <w:widowControl w:val="0"/>
        <w:spacing w:line="240" w:lineRule="auto"/>
        <w:ind w:left="2268"/>
        <w:jc w:val="both"/>
      </w:pPr>
      <w:r>
        <w:lastRenderedPageBreak/>
        <w:t>Glossary</w:t>
      </w:r>
    </w:p>
    <w:p w:rsidR="009F42BA" w:rsidRDefault="009F42BA" w:rsidP="00320CC4">
      <w:pPr>
        <w:pStyle w:val="CRPD-subsectionheading"/>
        <w:spacing w:line="240" w:lineRule="auto"/>
      </w:pPr>
      <w:r>
        <w:t>Some common Te Reo words that are used in this report are:</w:t>
      </w:r>
    </w:p>
    <w:p w:rsidR="009F42BA" w:rsidRDefault="009F42BA" w:rsidP="00320CC4">
      <w:pPr>
        <w:pStyle w:val="CRPDStateParty-bullets"/>
        <w:spacing w:line="240" w:lineRule="auto"/>
        <w:rPr>
          <w:b/>
        </w:rPr>
      </w:pPr>
      <w:r>
        <w:rPr>
          <w:b/>
        </w:rPr>
        <w:t xml:space="preserve">Aotearoa – </w:t>
      </w:r>
      <w:r w:rsidRPr="00987E1F">
        <w:t>“used as</w:t>
      </w:r>
      <w:r>
        <w:t xml:space="preserve"> the Māori name for NZ</w:t>
      </w:r>
      <w:r>
        <w:rPr>
          <w:rStyle w:val="FootnoteReference"/>
        </w:rPr>
        <w:footnoteReference w:id="2"/>
      </w:r>
      <w:r>
        <w:t>”</w:t>
      </w:r>
    </w:p>
    <w:p w:rsidR="009F42BA" w:rsidRPr="00F518C9" w:rsidRDefault="009F42BA" w:rsidP="00320CC4">
      <w:pPr>
        <w:pStyle w:val="CRPDStateParty-bullets"/>
        <w:spacing w:line="240" w:lineRule="auto"/>
        <w:rPr>
          <w:b/>
        </w:rPr>
      </w:pPr>
      <w:r w:rsidRPr="00F518C9">
        <w:rPr>
          <w:b/>
        </w:rPr>
        <w:t>Māori</w:t>
      </w:r>
      <w:r>
        <w:rPr>
          <w:b/>
        </w:rPr>
        <w:t xml:space="preserve"> – </w:t>
      </w:r>
      <w:r w:rsidRPr="00987E1F">
        <w:t>“indigenous person of Aotearoa/N</w:t>
      </w:r>
      <w:r>
        <w:t>Z</w:t>
      </w:r>
      <w:r>
        <w:rPr>
          <w:rStyle w:val="FootnoteReference"/>
        </w:rPr>
        <w:footnoteReference w:id="3"/>
      </w:r>
      <w:r>
        <w:t>”</w:t>
      </w:r>
      <w:r w:rsidRPr="00987E1F">
        <w:t xml:space="preserve"> </w:t>
      </w:r>
    </w:p>
    <w:p w:rsidR="009F42BA" w:rsidRDefault="009F42BA" w:rsidP="00320CC4">
      <w:pPr>
        <w:pStyle w:val="CRPDStateParty-bullets"/>
        <w:spacing w:line="240" w:lineRule="auto"/>
        <w:rPr>
          <w:b/>
        </w:rPr>
      </w:pPr>
      <w:r>
        <w:rPr>
          <w:b/>
        </w:rPr>
        <w:t xml:space="preserve">Te Reo/ Te Reo </w:t>
      </w:r>
      <w:r w:rsidRPr="00F518C9">
        <w:rPr>
          <w:b/>
        </w:rPr>
        <w:t>Māori</w:t>
      </w:r>
      <w:r>
        <w:rPr>
          <w:b/>
        </w:rPr>
        <w:t xml:space="preserve"> – </w:t>
      </w:r>
      <w:r>
        <w:t xml:space="preserve">the indigenous </w:t>
      </w:r>
      <w:r w:rsidRPr="00DF1D96">
        <w:t>language</w:t>
      </w:r>
      <w:r>
        <w:t xml:space="preserve"> </w:t>
      </w:r>
      <w:r w:rsidRPr="00DF1D96">
        <w:t>of Aotearoa/</w:t>
      </w:r>
      <w:r>
        <w:t>NZ</w:t>
      </w:r>
    </w:p>
    <w:p w:rsidR="009F42BA" w:rsidRPr="009F42BA" w:rsidRDefault="009F42BA" w:rsidP="00320CC4">
      <w:pPr>
        <w:pStyle w:val="CRPDStateParty-bullets"/>
        <w:spacing w:line="240" w:lineRule="auto"/>
        <w:rPr>
          <w:b/>
        </w:rPr>
      </w:pPr>
      <w:r w:rsidRPr="00F518C9">
        <w:rPr>
          <w:b/>
        </w:rPr>
        <w:t xml:space="preserve">Whānau </w:t>
      </w:r>
      <w:r>
        <w:rPr>
          <w:b/>
        </w:rPr>
        <w:t xml:space="preserve">- </w:t>
      </w:r>
      <w:r w:rsidRPr="00987E1F">
        <w:t>“extended family, family group, a familiar term of address to a number of people - the primary economic unit of traditional Māori society. In the modern context the term is sometimes used to include friends who may not have any kinship ties to other members</w:t>
      </w:r>
      <w:r>
        <w:rPr>
          <w:rStyle w:val="FootnoteReference"/>
        </w:rPr>
        <w:footnoteReference w:id="4"/>
      </w:r>
      <w:r w:rsidRPr="00987E1F">
        <w:t>.”</w:t>
      </w:r>
    </w:p>
    <w:p w:rsidR="009F42BA" w:rsidRPr="009F42BA" w:rsidRDefault="009F42BA" w:rsidP="00320CC4">
      <w:pPr>
        <w:pStyle w:val="CRPD-subsectionheading"/>
        <w:spacing w:line="240" w:lineRule="auto"/>
        <w:rPr>
          <w:b/>
        </w:rPr>
      </w:pPr>
      <w:r>
        <w:t>Some common abbreviations used in this report are:</w:t>
      </w:r>
    </w:p>
    <w:p w:rsidR="001B25BD" w:rsidRPr="00334DC7" w:rsidRDefault="001B25BD" w:rsidP="00320CC4">
      <w:pPr>
        <w:pStyle w:val="CRPDStateParty-bullets"/>
        <w:spacing w:line="240" w:lineRule="auto"/>
        <w:rPr>
          <w:b/>
        </w:rPr>
      </w:pPr>
      <w:r>
        <w:rPr>
          <w:b/>
        </w:rPr>
        <w:t xml:space="preserve">ACC – </w:t>
      </w:r>
      <w:r w:rsidRPr="001B25BD">
        <w:t xml:space="preserve">Accident Compensation </w:t>
      </w:r>
      <w:r w:rsidR="0086359F">
        <w:t>Corporation</w:t>
      </w:r>
    </w:p>
    <w:p w:rsidR="00334DC7" w:rsidRDefault="00334DC7" w:rsidP="00320CC4">
      <w:pPr>
        <w:pStyle w:val="CRPDStateParty-bullets"/>
        <w:spacing w:line="240" w:lineRule="auto"/>
        <w:rPr>
          <w:b/>
        </w:rPr>
      </w:pPr>
      <w:r w:rsidRPr="00334DC7">
        <w:rPr>
          <w:b/>
        </w:rPr>
        <w:t>CRPD</w:t>
      </w:r>
      <w:r>
        <w:t xml:space="preserve"> – the United Nations Convention on the Rights of Persons with Disabilities</w:t>
      </w:r>
    </w:p>
    <w:p w:rsidR="009F42BA" w:rsidRDefault="009F42BA" w:rsidP="00320CC4">
      <w:pPr>
        <w:pStyle w:val="CRPDStateParty-bullets"/>
        <w:spacing w:line="240" w:lineRule="auto"/>
        <w:rPr>
          <w:b/>
        </w:rPr>
      </w:pPr>
      <w:r>
        <w:rPr>
          <w:b/>
        </w:rPr>
        <w:t xml:space="preserve">DPO Coalition – </w:t>
      </w:r>
      <w:r w:rsidRPr="009F42BA">
        <w:t>Disabled People’s Organisations Coalition</w:t>
      </w:r>
      <w:r>
        <w:t>. There are currently seven organisations in the DPO Coalition</w:t>
      </w:r>
      <w:r w:rsidR="0043646F">
        <w:t xml:space="preserve"> which are made up of, or primarily governed by</w:t>
      </w:r>
      <w:r w:rsidR="00A836B0">
        <w:t>,</w:t>
      </w:r>
      <w:r w:rsidR="0043646F">
        <w:t xml:space="preserve"> disabled people</w:t>
      </w:r>
      <w:r w:rsidR="0043646F">
        <w:rPr>
          <w:rStyle w:val="FootnoteReference"/>
        </w:rPr>
        <w:footnoteReference w:id="5"/>
      </w:r>
    </w:p>
    <w:p w:rsidR="009F42BA" w:rsidRPr="009F42BA" w:rsidRDefault="009F42BA" w:rsidP="00320CC4">
      <w:pPr>
        <w:pStyle w:val="CRPDStateParty-bullets"/>
        <w:spacing w:line="240" w:lineRule="auto"/>
        <w:rPr>
          <w:b/>
        </w:rPr>
      </w:pPr>
      <w:r>
        <w:rPr>
          <w:b/>
        </w:rPr>
        <w:t xml:space="preserve">IMM – </w:t>
      </w:r>
      <w:r>
        <w:t>The Independent Monitoring Mechanism</w:t>
      </w:r>
      <w:r w:rsidR="000E5BE2">
        <w:t xml:space="preserve"> which is made up of the Human Rights Commission, the Office of the Ombudsman and the DPO Coalition.</w:t>
      </w:r>
    </w:p>
    <w:p w:rsidR="009F42BA" w:rsidRPr="009F42BA" w:rsidRDefault="009F42BA" w:rsidP="00320CC4">
      <w:pPr>
        <w:pStyle w:val="CRPDStateParty-bullets"/>
        <w:spacing w:line="240" w:lineRule="auto"/>
        <w:rPr>
          <w:b/>
        </w:rPr>
      </w:pPr>
      <w:r w:rsidRPr="009F42BA">
        <w:rPr>
          <w:b/>
        </w:rPr>
        <w:t>NZSL</w:t>
      </w:r>
      <w:r>
        <w:t xml:space="preserve"> – New Zealand Sign Language</w:t>
      </w:r>
      <w:r w:rsidR="000E5BE2">
        <w:t>.</w:t>
      </w:r>
    </w:p>
    <w:p w:rsidR="009F42BA" w:rsidRPr="00F518C9" w:rsidRDefault="009F42BA" w:rsidP="00320CC4">
      <w:pPr>
        <w:pStyle w:val="CRPDStateParty-bullets"/>
        <w:numPr>
          <w:ilvl w:val="0"/>
          <w:numId w:val="0"/>
        </w:numPr>
        <w:spacing w:line="240" w:lineRule="auto"/>
        <w:ind w:left="1854"/>
        <w:rPr>
          <w:b/>
        </w:rPr>
      </w:pPr>
    </w:p>
    <w:p w:rsidR="006C38F5" w:rsidRDefault="006C38F5" w:rsidP="00320CC4">
      <w:pPr>
        <w:suppressAutoHyphens w:val="0"/>
        <w:spacing w:line="240" w:lineRule="auto"/>
        <w:rPr>
          <w:b/>
          <w:sz w:val="28"/>
          <w:lang w:val="en-NZ" w:eastAsia="zh-CN"/>
        </w:rPr>
      </w:pPr>
      <w:r>
        <w:rPr>
          <w:lang w:val="en-NZ"/>
        </w:rPr>
        <w:br w:type="page"/>
      </w:r>
    </w:p>
    <w:p w:rsidR="00D476DA" w:rsidRDefault="00D476DA" w:rsidP="00320CC4">
      <w:pPr>
        <w:pStyle w:val="HChG"/>
        <w:keepNext w:val="0"/>
        <w:widowControl w:val="0"/>
        <w:spacing w:line="240" w:lineRule="auto"/>
        <w:ind w:left="2268"/>
        <w:jc w:val="both"/>
        <w:rPr>
          <w:lang w:val="en-NZ"/>
        </w:rPr>
      </w:pPr>
      <w:r w:rsidRPr="00AE0E30">
        <w:rPr>
          <w:lang w:val="en-NZ"/>
        </w:rPr>
        <w:lastRenderedPageBreak/>
        <w:t xml:space="preserve">Introduction </w:t>
      </w:r>
    </w:p>
    <w:p w:rsidR="00CA4564" w:rsidRDefault="00CA4564" w:rsidP="00320CC4">
      <w:pPr>
        <w:pStyle w:val="CRPD-subsectionheading"/>
        <w:spacing w:line="240" w:lineRule="auto"/>
      </w:pPr>
      <w:r w:rsidRPr="00237D85">
        <w:t xml:space="preserve">The </w:t>
      </w:r>
      <w:r w:rsidR="00795781" w:rsidRPr="00237D85">
        <w:t>New Zealand</w:t>
      </w:r>
      <w:r w:rsidR="002D21E1">
        <w:t xml:space="preserve"> (NZ)</w:t>
      </w:r>
      <w:r w:rsidR="00795781" w:rsidRPr="00237D85">
        <w:t xml:space="preserve"> </w:t>
      </w:r>
      <w:r w:rsidRPr="00237D85">
        <w:t xml:space="preserve">Government welcomes </w:t>
      </w:r>
      <w:r w:rsidR="009E02C4">
        <w:t>the</w:t>
      </w:r>
      <w:r w:rsidR="00AE0E30" w:rsidRPr="00AE0E30">
        <w:t xml:space="preserve"> combined second and third periodic review</w:t>
      </w:r>
      <w:r w:rsidR="00795781" w:rsidRPr="00795781">
        <w:t xml:space="preserve"> of</w:t>
      </w:r>
      <w:r w:rsidR="009E02C4">
        <w:t xml:space="preserve"> its</w:t>
      </w:r>
      <w:r w:rsidR="00795781" w:rsidRPr="00795781">
        <w:t xml:space="preserve"> implementation of the </w:t>
      </w:r>
      <w:r w:rsidR="00795781">
        <w:t>CRPD</w:t>
      </w:r>
      <w:r w:rsidR="00795781" w:rsidRPr="00795781">
        <w:t xml:space="preserve"> as an </w:t>
      </w:r>
      <w:r w:rsidRPr="00237D85">
        <w:t xml:space="preserve">opportunity to </w:t>
      </w:r>
      <w:r w:rsidR="008C7241">
        <w:t>acknowledge</w:t>
      </w:r>
      <w:r w:rsidR="0012265A">
        <w:t>,</w:t>
      </w:r>
      <w:r w:rsidR="008C7241">
        <w:t xml:space="preserve"> and </w:t>
      </w:r>
      <w:r w:rsidR="00795781">
        <w:t>continue to make progress on</w:t>
      </w:r>
      <w:r w:rsidR="00806B19">
        <w:t>,</w:t>
      </w:r>
      <w:r w:rsidR="00795781">
        <w:t xml:space="preserve"> the rights of disabled people.</w:t>
      </w:r>
      <w:r w:rsidRPr="00237D85">
        <w:t xml:space="preserve"> </w:t>
      </w:r>
    </w:p>
    <w:p w:rsidR="00C90D03" w:rsidRDefault="00767580" w:rsidP="00320CC4">
      <w:pPr>
        <w:pStyle w:val="CRPD-subsectionheading"/>
        <w:spacing w:line="240" w:lineRule="auto"/>
      </w:pPr>
      <w:r>
        <w:t>The following</w:t>
      </w:r>
      <w:r w:rsidR="00C90D03">
        <w:t xml:space="preserve"> report provides answers to the questions posed by the UN Committee </w:t>
      </w:r>
      <w:r w:rsidR="00C90D03" w:rsidRPr="00795781">
        <w:t>on the Rights of Persons with Disabilities</w:t>
      </w:r>
      <w:r w:rsidR="00C90D03">
        <w:t>. These questions are written in bold, with the Government’s answers underneath.</w:t>
      </w:r>
    </w:p>
    <w:p w:rsidR="00795781" w:rsidRDefault="00806B19" w:rsidP="00320CC4">
      <w:pPr>
        <w:pStyle w:val="CRPD-subsectionheading"/>
        <w:spacing w:line="240" w:lineRule="auto"/>
      </w:pPr>
      <w:r>
        <w:t>This report</w:t>
      </w:r>
      <w:r w:rsidR="00795781">
        <w:t xml:space="preserve"> </w:t>
      </w:r>
      <w:r w:rsidR="00A74720">
        <w:t>use</w:t>
      </w:r>
      <w:r>
        <w:t>s</w:t>
      </w:r>
      <w:r w:rsidR="00A74720">
        <w:t xml:space="preserve"> the term ‘disabled people’. This is the language used in the </w:t>
      </w:r>
      <w:r w:rsidR="002D21E1">
        <w:rPr>
          <w:i/>
        </w:rPr>
        <w:t>NZ</w:t>
      </w:r>
      <w:r w:rsidR="00A74720" w:rsidRPr="00007D60">
        <w:rPr>
          <w:i/>
        </w:rPr>
        <w:t xml:space="preserve"> Disability Strategy 2016-2026</w:t>
      </w:r>
      <w:r w:rsidR="00C865AB">
        <w:rPr>
          <w:i/>
        </w:rPr>
        <w:t xml:space="preserve"> </w:t>
      </w:r>
      <w:r w:rsidR="00C865AB">
        <w:t xml:space="preserve">(the </w:t>
      </w:r>
      <w:r w:rsidR="002D21E1">
        <w:t xml:space="preserve">Disability </w:t>
      </w:r>
      <w:r w:rsidR="00C865AB">
        <w:t>Strategy)</w:t>
      </w:r>
      <w:r w:rsidR="00E97ECD">
        <w:rPr>
          <w:rStyle w:val="FootnoteReference"/>
        </w:rPr>
        <w:footnoteReference w:id="6"/>
      </w:r>
      <w:r w:rsidR="00A74720">
        <w:t>, based on the advice of the Strategy’s reference group</w:t>
      </w:r>
      <w:r w:rsidR="00C90D03">
        <w:rPr>
          <w:rStyle w:val="FootnoteReference"/>
        </w:rPr>
        <w:footnoteReference w:id="7"/>
      </w:r>
      <w:r w:rsidR="00C90D03">
        <w:t xml:space="preserve"> which was made up of disabled people and their whānau</w:t>
      </w:r>
      <w:r w:rsidR="00C90D03">
        <w:rPr>
          <w:rStyle w:val="FootnoteReference"/>
        </w:rPr>
        <w:footnoteReference w:id="8"/>
      </w:r>
      <w:r w:rsidR="00C90D03">
        <w:t>.</w:t>
      </w:r>
    </w:p>
    <w:p w:rsidR="00D476DA" w:rsidRPr="005D0EF7" w:rsidRDefault="00D476DA" w:rsidP="00320CC4">
      <w:pPr>
        <w:pStyle w:val="CRPD-subsectionheading"/>
        <w:spacing w:line="240" w:lineRule="auto"/>
      </w:pPr>
      <w:r w:rsidRPr="00237D85">
        <w:t xml:space="preserve">During the </w:t>
      </w:r>
      <w:r w:rsidRPr="005D0EF7">
        <w:t xml:space="preserve">preparation of this report, the Government has engaged with the </w:t>
      </w:r>
      <w:r w:rsidR="00572608" w:rsidRPr="005D0EF7">
        <w:t>DPO Coalition</w:t>
      </w:r>
      <w:r w:rsidRPr="005D0EF7">
        <w:t>, disability sector organisations</w:t>
      </w:r>
      <w:r w:rsidR="00A74720" w:rsidRPr="005D0EF7">
        <w:t xml:space="preserve">, the </w:t>
      </w:r>
      <w:r w:rsidR="000E5BE2">
        <w:t>IMM</w:t>
      </w:r>
      <w:r w:rsidRPr="005D0EF7">
        <w:t xml:space="preserve"> and the public. </w:t>
      </w:r>
    </w:p>
    <w:p w:rsidR="00C90D03" w:rsidRPr="005D0EF7" w:rsidRDefault="00C90D03" w:rsidP="00320CC4">
      <w:pPr>
        <w:pStyle w:val="CRPD-subsectionheading"/>
        <w:spacing w:line="240" w:lineRule="auto"/>
      </w:pPr>
      <w:r w:rsidRPr="005D0EF7">
        <w:t xml:space="preserve">Since our </w:t>
      </w:r>
      <w:r w:rsidR="00767580" w:rsidRPr="005D0EF7">
        <w:t>first periodic</w:t>
      </w:r>
      <w:r w:rsidRPr="005D0EF7">
        <w:t xml:space="preserve"> review, there have been a number of </w:t>
      </w:r>
      <w:r w:rsidR="00020A3B" w:rsidRPr="005D0EF7">
        <w:t>changes, which</w:t>
      </w:r>
      <w:r w:rsidRPr="005D0EF7">
        <w:t xml:space="preserve"> have </w:t>
      </w:r>
      <w:r w:rsidR="005D0EF7" w:rsidRPr="005D0EF7">
        <w:t>create</w:t>
      </w:r>
      <w:r w:rsidR="005D0EF7">
        <w:t>d</w:t>
      </w:r>
      <w:r w:rsidR="005D0EF7" w:rsidRPr="005D0EF7">
        <w:t xml:space="preserve"> the opportunity for greater realisation of disabled peoples’ rights</w:t>
      </w:r>
      <w:r w:rsidR="00625C7A" w:rsidRPr="005D0EF7">
        <w:t>.</w:t>
      </w:r>
      <w:r w:rsidRPr="005D0EF7">
        <w:t xml:space="preserve"> This includes:</w:t>
      </w:r>
    </w:p>
    <w:p w:rsidR="002D1E79" w:rsidRPr="00797716" w:rsidRDefault="00625C7A" w:rsidP="00320CC4">
      <w:pPr>
        <w:pStyle w:val="CRPDStateParty-bullets"/>
        <w:widowControl w:val="0"/>
        <w:spacing w:line="240" w:lineRule="auto"/>
      </w:pPr>
      <w:r w:rsidRPr="005D0EF7">
        <w:t xml:space="preserve">A change in </w:t>
      </w:r>
      <w:r w:rsidRPr="00797716">
        <w:t>Government following a 2017 General Election</w:t>
      </w:r>
      <w:r w:rsidR="004E4764" w:rsidRPr="00797716">
        <w:t xml:space="preserve"> led to</w:t>
      </w:r>
      <w:r w:rsidR="00767580" w:rsidRPr="00797716">
        <w:t xml:space="preserve"> t</w:t>
      </w:r>
      <w:r w:rsidRPr="00797716">
        <w:t>he Minister for Disability Issues</w:t>
      </w:r>
      <w:r w:rsidR="00767580" w:rsidRPr="001E6DFB">
        <w:rPr>
          <w:rStyle w:val="FootnoteReference"/>
          <w:rFonts w:ascii="Verdana" w:hAnsi="Verdana"/>
          <w:sz w:val="20"/>
        </w:rPr>
        <w:footnoteReference w:id="9"/>
      </w:r>
      <w:r w:rsidR="004E4764" w:rsidRPr="00797716">
        <w:t xml:space="preserve"> now sitting</w:t>
      </w:r>
      <w:r w:rsidRPr="00797716">
        <w:t xml:space="preserve"> within Cabinet</w:t>
      </w:r>
      <w:r w:rsidR="004E4764" w:rsidRPr="00797716">
        <w:t xml:space="preserve">. </w:t>
      </w:r>
    </w:p>
    <w:p w:rsidR="00AB431B" w:rsidRDefault="004E4764" w:rsidP="00320CC4">
      <w:pPr>
        <w:pStyle w:val="CRPDStateParty-bullets"/>
        <w:spacing w:line="240" w:lineRule="auto"/>
      </w:pPr>
      <w:r w:rsidRPr="00797716">
        <w:t>T</w:t>
      </w:r>
      <w:r w:rsidR="00625C7A" w:rsidRPr="00797716">
        <w:t>he new Government</w:t>
      </w:r>
      <w:r w:rsidRPr="00797716">
        <w:t xml:space="preserve"> in its speech from the throne made a strong commitment to inclusion</w:t>
      </w:r>
      <w:r w:rsidRPr="00870FE0">
        <w:rPr>
          <w:rStyle w:val="FootnoteReference"/>
          <w:rFonts w:ascii="Verdana" w:hAnsi="Verdana"/>
          <w:sz w:val="20"/>
        </w:rPr>
        <w:footnoteReference w:id="10"/>
      </w:r>
      <w:r w:rsidRPr="00797716">
        <w:t>. It</w:t>
      </w:r>
      <w:r w:rsidR="00625C7A" w:rsidRPr="00797716">
        <w:t xml:space="preserve"> has </w:t>
      </w:r>
      <w:r w:rsidRPr="00797716">
        <w:t xml:space="preserve">also </w:t>
      </w:r>
      <w:r w:rsidR="00625C7A" w:rsidRPr="00797716">
        <w:t>established a number of</w:t>
      </w:r>
      <w:r w:rsidR="00D26F1D" w:rsidRPr="00797716">
        <w:t xml:space="preserve"> reforms and</w:t>
      </w:r>
      <w:r w:rsidR="00625C7A" w:rsidRPr="00797716">
        <w:t xml:space="preserve"> inquiries</w:t>
      </w:r>
      <w:r w:rsidR="00AB431B">
        <w:t xml:space="preserve"> including:</w:t>
      </w:r>
    </w:p>
    <w:p w:rsidR="00AB431B" w:rsidRDefault="005D0EF7" w:rsidP="00320CC4">
      <w:pPr>
        <w:pStyle w:val="CRPDStateParty-bullets"/>
        <w:numPr>
          <w:ilvl w:val="1"/>
          <w:numId w:val="6"/>
        </w:numPr>
        <w:spacing w:line="240" w:lineRule="auto"/>
      </w:pPr>
      <w:r w:rsidRPr="00797716">
        <w:t>the development of</w:t>
      </w:r>
      <w:r w:rsidR="001E6DFB">
        <w:t xml:space="preserve"> </w:t>
      </w:r>
      <w:r w:rsidR="001E6DFB" w:rsidRPr="00797716">
        <w:t>a</w:t>
      </w:r>
      <w:r w:rsidR="001E6DFB">
        <w:t xml:space="preserve"> </w:t>
      </w:r>
      <w:r w:rsidR="001E6DFB" w:rsidRPr="00797716">
        <w:t>Learning Support</w:t>
      </w:r>
      <w:r w:rsidR="001E6DFB">
        <w:t xml:space="preserve"> Action Plan </w:t>
      </w:r>
      <w:r w:rsidR="00173B8B">
        <w:t>2019-2025</w:t>
      </w:r>
    </w:p>
    <w:p w:rsidR="00AB431B" w:rsidRDefault="005D0EF7" w:rsidP="00320CC4">
      <w:pPr>
        <w:pStyle w:val="CRPDStateParty-bullets"/>
        <w:numPr>
          <w:ilvl w:val="1"/>
          <w:numId w:val="6"/>
        </w:numPr>
        <w:spacing w:line="240" w:lineRule="auto"/>
      </w:pPr>
      <w:r w:rsidRPr="00797716">
        <w:lastRenderedPageBreak/>
        <w:t>the Royal Commission into Historical Abuse in State Care and in the C</w:t>
      </w:r>
      <w:r w:rsidR="00AB431B">
        <w:t>are of Faith-based Institutions</w:t>
      </w:r>
      <w:r w:rsidRPr="00797716">
        <w:t xml:space="preserve"> </w:t>
      </w:r>
    </w:p>
    <w:p w:rsidR="00AB431B" w:rsidRDefault="005D0EF7" w:rsidP="00320CC4">
      <w:pPr>
        <w:pStyle w:val="CRPDStateParty-bullets"/>
        <w:numPr>
          <w:ilvl w:val="1"/>
          <w:numId w:val="6"/>
        </w:numPr>
        <w:spacing w:line="240" w:lineRule="auto"/>
      </w:pPr>
      <w:r w:rsidRPr="00797716">
        <w:t>the Government Inquiry into Mental H</w:t>
      </w:r>
      <w:r w:rsidR="00AB431B">
        <w:t>ealth and Addiction</w:t>
      </w:r>
    </w:p>
    <w:p w:rsidR="00D26F1D" w:rsidRPr="00797716" w:rsidRDefault="005D0EF7" w:rsidP="00320CC4">
      <w:pPr>
        <w:pStyle w:val="CRPDStateParty-bullets"/>
        <w:numPr>
          <w:ilvl w:val="1"/>
          <w:numId w:val="6"/>
        </w:numPr>
        <w:spacing w:line="240" w:lineRule="auto"/>
      </w:pPr>
      <w:r w:rsidRPr="00797716">
        <w:t>the creation of the</w:t>
      </w:r>
      <w:r w:rsidR="00AB431B">
        <w:t xml:space="preserve"> Welfare Expert Advisory Group</w:t>
      </w:r>
      <w:r w:rsidR="00A836B0" w:rsidRPr="00870FE0">
        <w:rPr>
          <w:rStyle w:val="FootnoteReference"/>
          <w:rFonts w:ascii="Verdana" w:hAnsi="Verdana"/>
          <w:sz w:val="20"/>
        </w:rPr>
        <w:footnoteReference w:id="11"/>
      </w:r>
      <w:r w:rsidRPr="00797716">
        <w:t xml:space="preserve">. </w:t>
      </w:r>
    </w:p>
    <w:p w:rsidR="00EA452E" w:rsidRPr="00797716" w:rsidRDefault="00EA452E" w:rsidP="00320CC4">
      <w:pPr>
        <w:pStyle w:val="CRPDStateParty-bullets"/>
        <w:widowControl w:val="0"/>
        <w:spacing w:line="240" w:lineRule="auto"/>
      </w:pPr>
      <w:r w:rsidRPr="00797716">
        <w:t>Budget 2018 provided a significant addit</w:t>
      </w:r>
      <w:r w:rsidR="00020A3B">
        <w:t>ional four-year investment (</w:t>
      </w:r>
      <w:r w:rsidRPr="00797716">
        <w:t>approximately $460 million</w:t>
      </w:r>
      <w:r w:rsidR="00020A3B">
        <w:t>)</w:t>
      </w:r>
      <w:r w:rsidRPr="00797716">
        <w:t xml:space="preserve"> in disability services, supports and work programmes</w:t>
      </w:r>
      <w:r w:rsidRPr="00870FE0">
        <w:rPr>
          <w:rStyle w:val="FootnoteReference"/>
          <w:rFonts w:ascii="Verdana" w:hAnsi="Verdana"/>
          <w:sz w:val="20"/>
        </w:rPr>
        <w:footnoteReference w:id="12"/>
      </w:r>
      <w:r w:rsidRPr="00797716">
        <w:t>.</w:t>
      </w:r>
    </w:p>
    <w:p w:rsidR="00625C7A" w:rsidRPr="00797716" w:rsidRDefault="00D26F1D" w:rsidP="00320CC4">
      <w:pPr>
        <w:pStyle w:val="CRPDStateParty-bullets"/>
        <w:spacing w:line="240" w:lineRule="auto"/>
      </w:pPr>
      <w:r w:rsidRPr="00797716">
        <w:t>I</w:t>
      </w:r>
      <w:r w:rsidR="00625C7A" w:rsidRPr="00797716">
        <w:t>n 2018, Cabinet agreed to “commence the design of an approach to achieve a fully accessible NZ, in collaboration with stakeholders”</w:t>
      </w:r>
      <w:r w:rsidR="00A836B0">
        <w:t>.</w:t>
      </w:r>
      <w:r w:rsidR="00625C7A" w:rsidRPr="00797716">
        <w:t xml:space="preserve"> </w:t>
      </w:r>
      <w:r w:rsidR="00A836B0" w:rsidRPr="00A836B0">
        <w:t xml:space="preserve">This will include developing a common understanding of what “fully accessible” looks like and exploring the feasibility of using legislation to provide for standards and codes for accessibility. </w:t>
      </w:r>
      <w:r w:rsidR="00A836B0" w:rsidRPr="00DD3EE4">
        <w:t xml:space="preserve">A report back to Cabinet is due in </w:t>
      </w:r>
      <w:r w:rsidR="00457E2D">
        <w:t>June</w:t>
      </w:r>
      <w:r w:rsidR="00A836B0" w:rsidRPr="00DD3EE4">
        <w:t xml:space="preserve"> 2019.</w:t>
      </w:r>
    </w:p>
    <w:p w:rsidR="00D26F1D" w:rsidRPr="00797716" w:rsidRDefault="00D26F1D" w:rsidP="00320CC4">
      <w:pPr>
        <w:pStyle w:val="CRPDStateParty-bullets"/>
        <w:widowControl w:val="0"/>
        <w:spacing w:line="240" w:lineRule="auto"/>
      </w:pPr>
      <w:r w:rsidRPr="00797716">
        <w:t xml:space="preserve">A Ministerial Leadership Group on Disability Issues </w:t>
      </w:r>
      <w:r w:rsidR="00EA452E" w:rsidRPr="00797716">
        <w:t>was</w:t>
      </w:r>
      <w:r w:rsidRPr="00797716">
        <w:t xml:space="preserve"> formed to provide a twice-yearly opportunity for Ministers to hear directly from the </w:t>
      </w:r>
      <w:r w:rsidR="000E5BE2">
        <w:t>IMM</w:t>
      </w:r>
      <w:r w:rsidRPr="00797716">
        <w:t xml:space="preserve"> on strategic policy issues that </w:t>
      </w:r>
      <w:r w:rsidR="008E121A">
        <w:t>impact on disabled people.</w:t>
      </w:r>
    </w:p>
    <w:p w:rsidR="00AD5BD3" w:rsidRPr="00797716" w:rsidRDefault="00020A3B" w:rsidP="00320CC4">
      <w:pPr>
        <w:pStyle w:val="CRPDStateParty-bullets"/>
        <w:widowControl w:val="0"/>
        <w:spacing w:line="240" w:lineRule="auto"/>
      </w:pPr>
      <w:r>
        <w:t xml:space="preserve">In 2016, the </w:t>
      </w:r>
      <w:r w:rsidR="00187AA1" w:rsidRPr="00797716">
        <w:t>revision of the Disability Strategy; in 2015, an update to the Disability Action Plan 2014-2018 and an update currently underway to create Disability Action Plan 2019-2022</w:t>
      </w:r>
      <w:r w:rsidR="00AD5BD3" w:rsidRPr="00797716">
        <w:t>;</w:t>
      </w:r>
      <w:r w:rsidR="00187AA1" w:rsidRPr="00797716">
        <w:t xml:space="preserve"> and the development of an Outcomes Framework to monitor the Disability Strategy</w:t>
      </w:r>
      <w:r w:rsidR="00A836B0">
        <w:rPr>
          <w:rStyle w:val="FootnoteReference"/>
        </w:rPr>
        <w:footnoteReference w:id="13"/>
      </w:r>
      <w:r w:rsidR="00187AA1" w:rsidRPr="00797716">
        <w:t xml:space="preserve">. </w:t>
      </w:r>
    </w:p>
    <w:p w:rsidR="00187AA1" w:rsidRPr="00797716" w:rsidRDefault="00187AA1" w:rsidP="00320CC4">
      <w:pPr>
        <w:pStyle w:val="CRPDStateParty-bullets"/>
        <w:widowControl w:val="0"/>
        <w:spacing w:line="240" w:lineRule="auto"/>
      </w:pPr>
      <w:r w:rsidRPr="00797716">
        <w:t>The creation of</w:t>
      </w:r>
      <w:r w:rsidR="002D1E79" w:rsidRPr="00797716">
        <w:t>:</w:t>
      </w:r>
      <w:r w:rsidRPr="00797716">
        <w:t xml:space="preserve"> the </w:t>
      </w:r>
      <w:r w:rsidR="00803D65">
        <w:t>NZSL</w:t>
      </w:r>
      <w:r w:rsidRPr="00797716">
        <w:t xml:space="preserve"> </w:t>
      </w:r>
      <w:r w:rsidR="00020A3B" w:rsidRPr="00797716">
        <w:t>Strategy and Action Plan</w:t>
      </w:r>
      <w:r w:rsidR="00020A3B">
        <w:t>, and NZSL</w:t>
      </w:r>
      <w:r w:rsidR="00020A3B" w:rsidRPr="00797716">
        <w:t xml:space="preserve"> </w:t>
      </w:r>
      <w:r w:rsidRPr="00797716">
        <w:t>Board</w:t>
      </w:r>
      <w:r w:rsidR="002D1E79" w:rsidRPr="00797716">
        <w:t xml:space="preserve"> </w:t>
      </w:r>
      <w:r w:rsidR="00AB431B" w:rsidRPr="00797716">
        <w:t xml:space="preserve">to promote and protect NZSL </w:t>
      </w:r>
      <w:r w:rsidR="002D1E79" w:rsidRPr="00797716">
        <w:t>comprising members of the Deaf community</w:t>
      </w:r>
      <w:r w:rsidRPr="00797716">
        <w:t xml:space="preserve"> (see question 20a)</w:t>
      </w:r>
      <w:r w:rsidR="00A836B0">
        <w:rPr>
          <w:rStyle w:val="FootnoteReference"/>
        </w:rPr>
        <w:footnoteReference w:id="14"/>
      </w:r>
      <w:r w:rsidRPr="00797716">
        <w:t>.</w:t>
      </w:r>
    </w:p>
    <w:p w:rsidR="002D1E79" w:rsidRDefault="002D1E79" w:rsidP="00320CC4">
      <w:pPr>
        <w:pStyle w:val="CRPDStateParty-bullets"/>
        <w:widowControl w:val="0"/>
        <w:spacing w:line="240" w:lineRule="auto"/>
      </w:pPr>
      <w:r w:rsidRPr="00797716">
        <w:t>The launch of an Accessibility Charter</w:t>
      </w:r>
      <w:r w:rsidR="00A836B0">
        <w:rPr>
          <w:rStyle w:val="FootnoteReference"/>
        </w:rPr>
        <w:footnoteReference w:id="15"/>
      </w:r>
      <w:r w:rsidRPr="00797716">
        <w:t xml:space="preserve"> which is a commitment for Government to make</w:t>
      </w:r>
      <w:r w:rsidR="00972A92">
        <w:t xml:space="preserve"> public</w:t>
      </w:r>
      <w:r w:rsidRPr="00797716">
        <w:t xml:space="preserve"> information</w:t>
      </w:r>
      <w:r w:rsidR="00E17703">
        <w:t xml:space="preserve"> and services</w:t>
      </w:r>
      <w:r w:rsidRPr="00797716">
        <w:t xml:space="preserve"> more accessible for disabled people.</w:t>
      </w:r>
    </w:p>
    <w:p w:rsidR="00E17703" w:rsidRPr="00E17703" w:rsidRDefault="00E17703" w:rsidP="00320CC4">
      <w:pPr>
        <w:pStyle w:val="CRPDStateParty-bullets"/>
        <w:spacing w:line="240" w:lineRule="auto"/>
      </w:pPr>
      <w:r w:rsidRPr="00E17703">
        <w:t>The release of a ‘Buildings for Everyone’ guide</w:t>
      </w:r>
      <w:r w:rsidR="00A836B0">
        <w:rPr>
          <w:rStyle w:val="FootnoteReference"/>
        </w:rPr>
        <w:footnoteReference w:id="16"/>
      </w:r>
      <w:r w:rsidRPr="00E17703">
        <w:t xml:space="preserve"> which encourages building owners and designers to consider </w:t>
      </w:r>
      <w:r w:rsidRPr="00E17703">
        <w:lastRenderedPageBreak/>
        <w:t>the needs of all users of public buildings from the start. This provide</w:t>
      </w:r>
      <w:r w:rsidR="00AB431B">
        <w:t>s</w:t>
      </w:r>
      <w:r w:rsidRPr="00E17703">
        <w:t xml:space="preserve"> guidance on designing accessible public buildings. </w:t>
      </w:r>
    </w:p>
    <w:p w:rsidR="009E02C4" w:rsidRPr="006C38F5" w:rsidRDefault="006C14F1" w:rsidP="00320CC4">
      <w:pPr>
        <w:pStyle w:val="CRPDStateParty-bullets"/>
        <w:widowControl w:val="0"/>
        <w:spacing w:line="240" w:lineRule="auto"/>
      </w:pPr>
      <w:r w:rsidRPr="00797716">
        <w:t>Data on disability is improving following t</w:t>
      </w:r>
      <w:r w:rsidR="00AB431B">
        <w:t xml:space="preserve">he Washington Group Short Set </w:t>
      </w:r>
      <w:r w:rsidR="00625C7A" w:rsidRPr="00797716">
        <w:t>of questions on disability</w:t>
      </w:r>
      <w:r w:rsidR="00625C7A" w:rsidRPr="00A836B0">
        <w:rPr>
          <w:rStyle w:val="FootnoteReference"/>
        </w:rPr>
        <w:footnoteReference w:id="17"/>
      </w:r>
      <w:r w:rsidR="00771F4F" w:rsidRPr="00797716">
        <w:t xml:space="preserve"> </w:t>
      </w:r>
      <w:r w:rsidR="00497C9C">
        <w:t>being</w:t>
      </w:r>
      <w:r w:rsidR="00771F4F" w:rsidRPr="00797716">
        <w:t xml:space="preserve"> included in </w:t>
      </w:r>
      <w:r w:rsidR="00D26F1D" w:rsidRPr="00797716">
        <w:t xml:space="preserve">the national census and </w:t>
      </w:r>
      <w:r w:rsidR="00771F4F" w:rsidRPr="00797716">
        <w:t>some government surveys</w:t>
      </w:r>
      <w:r w:rsidR="00771F4F" w:rsidRPr="00870FE0">
        <w:rPr>
          <w:rStyle w:val="FootnoteReference"/>
          <w:rFonts w:ascii="Verdana" w:hAnsi="Verdana"/>
          <w:sz w:val="20"/>
        </w:rPr>
        <w:footnoteReference w:id="18"/>
      </w:r>
      <w:r w:rsidR="00771F4F" w:rsidRPr="00797716">
        <w:t>. These questions allow comparisons to be made between disabled and non-disabled people</w:t>
      </w:r>
      <w:r w:rsidR="00771F4F" w:rsidRPr="00870FE0">
        <w:rPr>
          <w:vertAlign w:val="superscript"/>
        </w:rPr>
        <w:footnoteReference w:id="19"/>
      </w:r>
      <w:r w:rsidR="00771F4F" w:rsidRPr="00797716">
        <w:t xml:space="preserve">. </w:t>
      </w:r>
      <w:r w:rsidR="009E02C4" w:rsidRPr="00797716">
        <w:t>Despite the progress made, there are still many data collections across government that cannot produce any inf</w:t>
      </w:r>
      <w:r w:rsidR="00771F4F" w:rsidRPr="00797716">
        <w:t xml:space="preserve">ormation about disabled people, particularly disabled children and </w:t>
      </w:r>
      <w:r w:rsidR="00FE3307" w:rsidRPr="00797716">
        <w:t xml:space="preserve">data disaggregated </w:t>
      </w:r>
      <w:r w:rsidR="00FE3307" w:rsidRPr="006C38F5">
        <w:t>by disability-type</w:t>
      </w:r>
      <w:r w:rsidR="009E02C4" w:rsidRPr="006C38F5">
        <w:t>.</w:t>
      </w:r>
      <w:r w:rsidR="00FE3307" w:rsidRPr="006C38F5">
        <w:t xml:space="preserve"> </w:t>
      </w:r>
    </w:p>
    <w:p w:rsidR="00523935" w:rsidRPr="00457E2D" w:rsidRDefault="00523935" w:rsidP="00320CC4">
      <w:pPr>
        <w:pStyle w:val="CRPDStateParty-bullets"/>
        <w:widowControl w:val="0"/>
        <w:spacing w:line="240" w:lineRule="auto"/>
      </w:pPr>
      <w:r w:rsidRPr="006C38F5">
        <w:t>The Oranga Mahi</w:t>
      </w:r>
      <w:r w:rsidR="00A836B0" w:rsidRPr="006C38F5">
        <w:rPr>
          <w:rStyle w:val="FootnoteReference"/>
        </w:rPr>
        <w:footnoteReference w:id="20"/>
      </w:r>
      <w:r w:rsidRPr="006C38F5">
        <w:t xml:space="preserve"> programme was</w:t>
      </w:r>
      <w:r>
        <w:t xml:space="preserve"> launched</w:t>
      </w:r>
      <w:r w:rsidR="00AB431B">
        <w:t xml:space="preserve"> to </w:t>
      </w:r>
      <w:r w:rsidR="00AB431B" w:rsidRPr="00F25691">
        <w:t xml:space="preserve">trial </w:t>
      </w:r>
      <w:r w:rsidR="00AB431B" w:rsidRPr="00457E2D">
        <w:t>and evaluate new ways of delivering integrated health, social and employment support for clients with a health condition or disability</w:t>
      </w:r>
      <w:r w:rsidR="00AB431B" w:rsidRPr="00457E2D">
        <w:rPr>
          <w:rStyle w:val="FootnoteReference"/>
        </w:rPr>
        <w:footnoteReference w:id="21"/>
      </w:r>
      <w:r w:rsidR="00AB431B" w:rsidRPr="00457E2D">
        <w:t xml:space="preserve">. This </w:t>
      </w:r>
      <w:r w:rsidRPr="00457E2D">
        <w:t>is a strategic partnership between the Ministry of Social Develop</w:t>
      </w:r>
      <w:r w:rsidR="004313F6" w:rsidRPr="00457E2D">
        <w:t>ment and the health sector.</w:t>
      </w:r>
    </w:p>
    <w:p w:rsidR="00C52D9C" w:rsidRPr="00457E2D" w:rsidRDefault="00E17703" w:rsidP="00320CC4">
      <w:pPr>
        <w:pStyle w:val="CRPDStateParty-bullets"/>
        <w:spacing w:line="240" w:lineRule="auto"/>
      </w:pPr>
      <w:r w:rsidRPr="00457E2D">
        <w:t xml:space="preserve">The Government will be consulting with the disability sector on the proposed design of a wage supplement approach, which would support the removal of the Minimum Wage Exemption.  </w:t>
      </w:r>
    </w:p>
    <w:p w:rsidR="00AC1A30" w:rsidRPr="00007D60" w:rsidRDefault="00771F4F" w:rsidP="00320CC4">
      <w:pPr>
        <w:pStyle w:val="CRPDStateParty-bullets"/>
        <w:widowControl w:val="0"/>
        <w:spacing w:line="240" w:lineRule="auto"/>
        <w:rPr>
          <w:noProof/>
        </w:rPr>
      </w:pPr>
      <w:r w:rsidRPr="00797716">
        <w:t xml:space="preserve">The Government </w:t>
      </w:r>
      <w:r w:rsidR="00413BB8" w:rsidRPr="00797716">
        <w:t>is making</w:t>
      </w:r>
      <w:r w:rsidRPr="00797716">
        <w:t xml:space="preserve"> significant</w:t>
      </w:r>
      <w:r w:rsidRPr="00771F4F">
        <w:t xml:space="preserve"> changes to its disability support system.</w:t>
      </w:r>
    </w:p>
    <w:p w:rsidR="006C14F1" w:rsidRPr="00797716" w:rsidRDefault="006C14F1" w:rsidP="00320CC4">
      <w:pPr>
        <w:pStyle w:val="CRPDStateParty-bullets"/>
        <w:widowControl w:val="0"/>
        <w:numPr>
          <w:ilvl w:val="1"/>
          <w:numId w:val="6"/>
        </w:numPr>
        <w:spacing w:line="240" w:lineRule="auto"/>
      </w:pPr>
      <w:r w:rsidRPr="00413BB8">
        <w:t xml:space="preserve">A </w:t>
      </w:r>
      <w:r w:rsidRPr="00797716">
        <w:t>prototype for the disability support system transformation started in the MidCentral District Health Board’s area</w:t>
      </w:r>
      <w:r w:rsidRPr="00870FE0">
        <w:rPr>
          <w:rStyle w:val="FootnoteReference"/>
          <w:rFonts w:ascii="Verdana" w:hAnsi="Verdana"/>
          <w:sz w:val="20"/>
        </w:rPr>
        <w:footnoteReference w:id="22"/>
      </w:r>
      <w:r w:rsidRPr="00797716">
        <w:t xml:space="preserve"> from October 2018. This prototype is called Mana Whaikaha</w:t>
      </w:r>
      <w:r w:rsidR="00507E45">
        <w:rPr>
          <w:rStyle w:val="FootnoteReference"/>
        </w:rPr>
        <w:footnoteReference w:id="23"/>
      </w:r>
      <w:r w:rsidRPr="00797716">
        <w:t>.</w:t>
      </w:r>
    </w:p>
    <w:p w:rsidR="00A764E3" w:rsidRPr="00797716" w:rsidRDefault="006C14F1" w:rsidP="00320CC4">
      <w:pPr>
        <w:pStyle w:val="CRPDStateParty-bullets"/>
        <w:widowControl w:val="0"/>
        <w:numPr>
          <w:ilvl w:val="1"/>
          <w:numId w:val="6"/>
        </w:numPr>
        <w:spacing w:line="240" w:lineRule="auto"/>
      </w:pPr>
      <w:r w:rsidRPr="00797716">
        <w:t>In the</w:t>
      </w:r>
      <w:r w:rsidR="00A764E3" w:rsidRPr="00797716">
        <w:t xml:space="preserve"> </w:t>
      </w:r>
      <w:r w:rsidRPr="00797716">
        <w:t>prototype,</w:t>
      </w:r>
      <w:r w:rsidR="00A764E3" w:rsidRPr="00797716">
        <w:t xml:space="preserve"> disabled people and their </w:t>
      </w:r>
      <w:r w:rsidR="004313F6">
        <w:lastRenderedPageBreak/>
        <w:t xml:space="preserve">families and </w:t>
      </w:r>
      <w:r w:rsidR="00A764E3" w:rsidRPr="00797716">
        <w:t>whānau will have mo</w:t>
      </w:r>
      <w:r w:rsidR="009F42BA">
        <w:t>re options and greater decisio</w:t>
      </w:r>
      <w:r w:rsidR="00A764E3" w:rsidRPr="00797716">
        <w:t>n-making over what supports they need to live the life they want, rather than their lives having to fit around what services have been on offer. Th</w:t>
      </w:r>
      <w:r w:rsidR="00A01AEC" w:rsidRPr="00797716">
        <w:t>is is the</w:t>
      </w:r>
      <w:r w:rsidR="00A764E3" w:rsidRPr="00797716">
        <w:t xml:space="preserve"> Enabling Good Lives approach.</w:t>
      </w:r>
    </w:p>
    <w:p w:rsidR="0097694A" w:rsidRPr="00797716" w:rsidRDefault="00873D8D" w:rsidP="00320CC4">
      <w:pPr>
        <w:pStyle w:val="CRPDStateParty-bullets"/>
        <w:widowControl w:val="0"/>
        <w:numPr>
          <w:ilvl w:val="1"/>
          <w:numId w:val="6"/>
        </w:numPr>
        <w:spacing w:line="240" w:lineRule="auto"/>
      </w:pPr>
      <w:r w:rsidRPr="00797716">
        <w:t xml:space="preserve">The </w:t>
      </w:r>
      <w:r w:rsidR="00413BB8" w:rsidRPr="00797716">
        <w:t>G</w:t>
      </w:r>
      <w:r w:rsidR="00A764E3" w:rsidRPr="00797716">
        <w:t>overnment has co-design</w:t>
      </w:r>
      <w:r w:rsidR="00A9667B" w:rsidRPr="00797716">
        <w:t>ed</w:t>
      </w:r>
      <w:r w:rsidR="00A764E3" w:rsidRPr="00797716">
        <w:t xml:space="preserve"> the </w:t>
      </w:r>
      <w:r w:rsidR="006C14F1" w:rsidRPr="00797716">
        <w:t>prototype</w:t>
      </w:r>
      <w:r w:rsidR="00A9667B" w:rsidRPr="00797716">
        <w:t xml:space="preserve"> with disabled people and their families</w:t>
      </w:r>
      <w:r w:rsidR="00A764E3" w:rsidRPr="00797716">
        <w:t xml:space="preserve">. </w:t>
      </w:r>
      <w:r w:rsidR="004313F6">
        <w:t>The Government has</w:t>
      </w:r>
      <w:r w:rsidR="00A9667B" w:rsidRPr="00797716">
        <w:t xml:space="preserve"> established a mechanism to ensure that disabled people and their families</w:t>
      </w:r>
      <w:r w:rsidR="004313F6">
        <w:t xml:space="preserve"> and </w:t>
      </w:r>
      <w:r w:rsidR="004313F6" w:rsidRPr="00797716">
        <w:t>whānau</w:t>
      </w:r>
      <w:r w:rsidR="00A9667B" w:rsidRPr="00797716">
        <w:t xml:space="preserve"> continue to be at the centre of the disability support system. </w:t>
      </w:r>
    </w:p>
    <w:p w:rsidR="00413BB8" w:rsidRPr="00797716" w:rsidRDefault="00413BB8" w:rsidP="00320CC4">
      <w:pPr>
        <w:pStyle w:val="CRPDStateParty-bullets"/>
        <w:widowControl w:val="0"/>
        <w:numPr>
          <w:ilvl w:val="1"/>
          <w:numId w:val="6"/>
        </w:numPr>
        <w:spacing w:line="240" w:lineRule="auto"/>
      </w:pPr>
      <w:r w:rsidRPr="00797716">
        <w:t>Key features of the prototype are that disabled children, disabled young people and dis</w:t>
      </w:r>
      <w:r w:rsidR="004313F6">
        <w:t xml:space="preserve">abled adults and their families and </w:t>
      </w:r>
      <w:r w:rsidRPr="00797716">
        <w:t>whānau are welcomed into the system in multiple ways, having access to a Connector</w:t>
      </w:r>
      <w:r w:rsidRPr="00870FE0">
        <w:rPr>
          <w:rStyle w:val="FootnoteReference"/>
          <w:rFonts w:ascii="Verdana" w:hAnsi="Verdana"/>
          <w:sz w:val="20"/>
        </w:rPr>
        <w:footnoteReference w:id="24"/>
      </w:r>
      <w:r w:rsidRPr="00797716">
        <w:t xml:space="preserve"> to walk along</w:t>
      </w:r>
      <w:r w:rsidR="004313F6">
        <w:t>side them</w:t>
      </w:r>
      <w:r w:rsidRPr="00797716">
        <w:t>. Information and processes will be accessible to meet the</w:t>
      </w:r>
      <w:r w:rsidR="004313F6">
        <w:t xml:space="preserve"> community’s</w:t>
      </w:r>
      <w:r w:rsidRPr="00797716">
        <w:t xml:space="preserve"> diverse needs. </w:t>
      </w:r>
    </w:p>
    <w:p w:rsidR="00312CBA" w:rsidRPr="00797716" w:rsidRDefault="00413BB8" w:rsidP="00320CC4">
      <w:pPr>
        <w:pStyle w:val="CRPDStateParty-bullets"/>
        <w:widowControl w:val="0"/>
        <w:numPr>
          <w:ilvl w:val="1"/>
          <w:numId w:val="6"/>
        </w:numPr>
        <w:spacing w:line="240" w:lineRule="auto"/>
      </w:pPr>
      <w:r w:rsidRPr="00797716">
        <w:t xml:space="preserve">A ‘try, learn and adjust’ approach will be taken over the first year of the prototype to refine and finalise the model, and inform future decisions on the rollout of a new disability support system across </w:t>
      </w:r>
      <w:r w:rsidR="006C14F1" w:rsidRPr="00797716">
        <w:t>NZ</w:t>
      </w:r>
      <w:r w:rsidRPr="00797716">
        <w:t>.</w:t>
      </w:r>
    </w:p>
    <w:p w:rsidR="00F518C9" w:rsidRDefault="00F518C9" w:rsidP="00320CC4">
      <w:pPr>
        <w:pStyle w:val="CRPD-subsectionheading"/>
        <w:spacing w:line="240" w:lineRule="auto"/>
      </w:pPr>
      <w:r>
        <w:br w:type="page"/>
      </w:r>
    </w:p>
    <w:p w:rsidR="00E64FBD" w:rsidRPr="00237D85" w:rsidRDefault="00E64FBD" w:rsidP="00320CC4">
      <w:pPr>
        <w:pStyle w:val="HChG"/>
        <w:keepNext w:val="0"/>
        <w:widowControl w:val="0"/>
        <w:spacing w:line="240" w:lineRule="auto"/>
        <w:ind w:left="2268"/>
        <w:jc w:val="both"/>
        <w:rPr>
          <w:lang w:val="en-NZ"/>
        </w:rPr>
      </w:pPr>
      <w:r w:rsidRPr="00237D85">
        <w:rPr>
          <w:lang w:val="en-NZ"/>
        </w:rPr>
        <w:lastRenderedPageBreak/>
        <w:t>A.</w:t>
      </w:r>
      <w:r w:rsidRPr="00237D85">
        <w:rPr>
          <w:lang w:val="en-NZ"/>
        </w:rPr>
        <w:tab/>
        <w:t>Purpose and general obligations (arts. 1–4)</w:t>
      </w:r>
    </w:p>
    <w:p w:rsidR="00E64FBD" w:rsidRPr="00237D85" w:rsidRDefault="00E64FBD" w:rsidP="00320CC4">
      <w:pPr>
        <w:pStyle w:val="CRPD-Questionstyle"/>
        <w:widowControl w:val="0"/>
        <w:spacing w:line="240" w:lineRule="auto"/>
        <w:rPr>
          <w:lang w:val="en-NZ"/>
        </w:rPr>
      </w:pPr>
      <w:r w:rsidRPr="00237D85">
        <w:rPr>
          <w:lang w:val="en-NZ"/>
        </w:rPr>
        <w:t>1.</w:t>
      </w:r>
      <w:r w:rsidRPr="00237D85">
        <w:rPr>
          <w:lang w:val="en-NZ"/>
        </w:rPr>
        <w:tab/>
      </w:r>
      <w:r w:rsidR="00FB4BA0">
        <w:rPr>
          <w:lang w:val="en-NZ"/>
        </w:rPr>
        <w:t>S</w:t>
      </w:r>
      <w:r w:rsidRPr="00237D85">
        <w:rPr>
          <w:lang w:val="en-NZ"/>
        </w:rPr>
        <w:t>ig</w:t>
      </w:r>
      <w:r w:rsidR="00D07F88">
        <w:rPr>
          <w:lang w:val="en-NZ"/>
        </w:rPr>
        <w:t>nificant progress concerning leg</w:t>
      </w:r>
      <w:r w:rsidRPr="00237D85">
        <w:rPr>
          <w:lang w:val="en-NZ"/>
        </w:rPr>
        <w:t>al reform to bring all legislation into compliance with the Convention, as well as public policy measures taken to implement the Convention.</w:t>
      </w:r>
    </w:p>
    <w:p w:rsidR="00A94601" w:rsidRDefault="00A94601" w:rsidP="00320CC4">
      <w:pPr>
        <w:pStyle w:val="CRPD-subsectionheading"/>
        <w:numPr>
          <w:ilvl w:val="0"/>
          <w:numId w:val="17"/>
        </w:numPr>
        <w:spacing w:line="240" w:lineRule="auto"/>
      </w:pPr>
      <w:r>
        <w:t>Legal reform includes:</w:t>
      </w:r>
    </w:p>
    <w:p w:rsidR="00A94601" w:rsidRPr="00007D60" w:rsidRDefault="00A94601" w:rsidP="00320CC4">
      <w:pPr>
        <w:pStyle w:val="CRPDStateParty-bullets"/>
        <w:widowControl w:val="0"/>
        <w:spacing w:line="240" w:lineRule="auto"/>
      </w:pPr>
      <w:r w:rsidRPr="00A94601">
        <w:rPr>
          <w:i/>
        </w:rPr>
        <w:t>Education (Update) Amendment Act 2017</w:t>
      </w:r>
      <w:r w:rsidR="00151E6C">
        <w:rPr>
          <w:i/>
        </w:rPr>
        <w:t xml:space="preserve"> </w:t>
      </w:r>
      <w:r w:rsidR="003F70C1">
        <w:t>prohibit</w:t>
      </w:r>
      <w:r w:rsidR="004313F6">
        <w:t>s</w:t>
      </w:r>
      <w:r w:rsidR="003F70C1">
        <w:t xml:space="preserve"> seclusion and regulates </w:t>
      </w:r>
      <w:r w:rsidR="001957F1">
        <w:t xml:space="preserve">the use of restraint </w:t>
      </w:r>
      <w:r w:rsidR="001957F1" w:rsidRPr="00ED1665">
        <w:t>in schools (s</w:t>
      </w:r>
      <w:r w:rsidR="003F70C1" w:rsidRPr="00ED1665">
        <w:t xml:space="preserve">ee </w:t>
      </w:r>
      <w:r w:rsidR="00A96E48" w:rsidRPr="00ED1665">
        <w:t>question</w:t>
      </w:r>
      <w:r w:rsidR="003F70C1" w:rsidRPr="00ED1665">
        <w:t xml:space="preserve"> 14(d))</w:t>
      </w:r>
      <w:r w:rsidR="00D26F1D" w:rsidRPr="00ED1665">
        <w:t xml:space="preserve">. </w:t>
      </w:r>
      <w:r w:rsidR="00D26F1D" w:rsidRPr="00ED1665">
        <w:rPr>
          <w:i/>
        </w:rPr>
        <w:t>The Education Act 1989</w:t>
      </w:r>
      <w:r w:rsidR="00D26F1D" w:rsidRPr="00ED1665">
        <w:t xml:space="preserve"> now provides a set of enduring objectives for the education system including</w:t>
      </w:r>
      <w:r w:rsidR="00D26F1D">
        <w:t xml:space="preserve"> a commitment to “the importance of inclusion within society of different groups and person</w:t>
      </w:r>
      <w:r w:rsidR="001E6DFB">
        <w:t>s</w:t>
      </w:r>
      <w:r w:rsidR="00D26F1D">
        <w:t xml:space="preserve"> with diff</w:t>
      </w:r>
      <w:r w:rsidR="00EF029E">
        <w:t>erent personal characteristics”</w:t>
      </w:r>
    </w:p>
    <w:p w:rsidR="00A94601" w:rsidRPr="00ED1665" w:rsidRDefault="004313F6" w:rsidP="00320CC4">
      <w:pPr>
        <w:pStyle w:val="CRPDStateParty-bullets"/>
        <w:widowControl w:val="0"/>
        <w:spacing w:line="240" w:lineRule="auto"/>
      </w:pPr>
      <w:r>
        <w:t>reform of the</w:t>
      </w:r>
      <w:r w:rsidR="00A94601" w:rsidRPr="00ED1665">
        <w:t xml:space="preserve"> </w:t>
      </w:r>
      <w:r w:rsidR="00A94601" w:rsidRPr="00ED1665">
        <w:rPr>
          <w:i/>
        </w:rPr>
        <w:t>Oranga Tamariki</w:t>
      </w:r>
      <w:r w:rsidR="00507E45">
        <w:rPr>
          <w:rStyle w:val="FootnoteReference"/>
          <w:i/>
        </w:rPr>
        <w:footnoteReference w:id="25"/>
      </w:r>
      <w:r w:rsidR="00A94601" w:rsidRPr="00ED1665">
        <w:rPr>
          <w:i/>
        </w:rPr>
        <w:t xml:space="preserve"> Act 1989</w:t>
      </w:r>
      <w:r w:rsidR="003F70C1" w:rsidRPr="00ED1665">
        <w:rPr>
          <w:i/>
        </w:rPr>
        <w:t xml:space="preserve"> </w:t>
      </w:r>
      <w:r w:rsidR="001957F1" w:rsidRPr="00ED1665">
        <w:t>(s</w:t>
      </w:r>
      <w:r w:rsidR="003F70C1" w:rsidRPr="00ED1665">
        <w:t xml:space="preserve">ee </w:t>
      </w:r>
      <w:r w:rsidR="00A96E48" w:rsidRPr="00ED1665">
        <w:t>question</w:t>
      </w:r>
      <w:r w:rsidR="003F70C1" w:rsidRPr="00ED1665">
        <w:t xml:space="preserve"> </w:t>
      </w:r>
      <w:r w:rsidR="00FA412E" w:rsidRPr="00ED1665">
        <w:t xml:space="preserve">7(b), </w:t>
      </w:r>
      <w:r w:rsidR="003F70C1" w:rsidRPr="00ED1665">
        <w:t>21(a))</w:t>
      </w:r>
      <w:r w:rsidR="00895161" w:rsidRPr="00ED1665">
        <w:t xml:space="preserve"> which includes explicit reference to the CRPD</w:t>
      </w:r>
    </w:p>
    <w:p w:rsidR="00FB4BA0" w:rsidRDefault="00B967BF" w:rsidP="00320CC4">
      <w:pPr>
        <w:pStyle w:val="CRPDStateParty-bullets"/>
        <w:widowControl w:val="0"/>
        <w:spacing w:line="240" w:lineRule="auto"/>
      </w:pPr>
      <w:r>
        <w:t>rewrite</w:t>
      </w:r>
      <w:r w:rsidR="00FB4BA0">
        <w:t xml:space="preserve"> of the </w:t>
      </w:r>
      <w:r w:rsidR="00FB4BA0" w:rsidRPr="00F056B9">
        <w:rPr>
          <w:i/>
        </w:rPr>
        <w:t>Social Security Act 2018</w:t>
      </w:r>
      <w:r w:rsidR="00F056B9" w:rsidRPr="00ED1665">
        <w:rPr>
          <w:rStyle w:val="FootnoteReference"/>
        </w:rPr>
        <w:footnoteReference w:id="26"/>
      </w:r>
      <w:r w:rsidR="00FB4BA0" w:rsidRPr="00ED1665">
        <w:t xml:space="preserve"> </w:t>
      </w:r>
      <w:r w:rsidR="00FB4BA0">
        <w:t>which removed the ability to compel a person to have treatment</w:t>
      </w:r>
      <w:r w:rsidR="00F056B9">
        <w:t xml:space="preserve"> </w:t>
      </w:r>
      <w:r w:rsidR="0061093A">
        <w:t>to receive an emergency benefit</w:t>
      </w:r>
    </w:p>
    <w:p w:rsidR="0061093A" w:rsidRDefault="00373067" w:rsidP="00320CC4">
      <w:pPr>
        <w:pStyle w:val="CRPDStateParty-bullets"/>
        <w:widowControl w:val="0"/>
        <w:spacing w:line="240" w:lineRule="auto"/>
      </w:pPr>
      <w:r>
        <w:t xml:space="preserve">intention to repeal </w:t>
      </w:r>
      <w:r w:rsidR="0061093A" w:rsidRPr="0061093A">
        <w:t>Part 4A</w:t>
      </w:r>
      <w:r w:rsidR="0061093A">
        <w:t xml:space="preserve">, </w:t>
      </w:r>
      <w:r w:rsidR="0061093A" w:rsidRPr="0061093A">
        <w:rPr>
          <w:i/>
        </w:rPr>
        <w:t>NZ Public Health and Disability Act 2000</w:t>
      </w:r>
      <w:r w:rsidR="0061093A" w:rsidRPr="00ED1665">
        <w:rPr>
          <w:rStyle w:val="FootnoteReference"/>
        </w:rPr>
        <w:footnoteReference w:id="27"/>
      </w:r>
      <w:r w:rsidR="0061093A" w:rsidRPr="0061093A">
        <w:t xml:space="preserve">, which currently prohibits complaints of discrimination regarding family care </w:t>
      </w:r>
      <w:r w:rsidR="0061093A" w:rsidRPr="00ED1665">
        <w:t>policy</w:t>
      </w:r>
      <w:r w:rsidR="00E84E41" w:rsidRPr="00ED1665">
        <w:t xml:space="preserve"> (see question </w:t>
      </w:r>
      <w:r w:rsidR="00ED1665" w:rsidRPr="00ED1665">
        <w:t>5(d)</w:t>
      </w:r>
      <w:r w:rsidR="00ED7E61">
        <w:t>)</w:t>
      </w:r>
    </w:p>
    <w:p w:rsidR="00ED7E61" w:rsidRDefault="00ED7E61" w:rsidP="00320CC4">
      <w:pPr>
        <w:pStyle w:val="CRPDStateParty-bullets"/>
        <w:spacing w:line="240" w:lineRule="auto"/>
      </w:pPr>
      <w:r>
        <w:t>in</w:t>
      </w:r>
      <w:r w:rsidRPr="00ED7E61">
        <w:t xml:space="preserve"> 2018, Cabinet agreed to “commence the design of an approach to achieve a fully accessible NZ, in collaboration with stakeholders”</w:t>
      </w:r>
      <w:r w:rsidR="00507E45">
        <w:t xml:space="preserve"> (see introduction).</w:t>
      </w:r>
    </w:p>
    <w:p w:rsidR="00737B39" w:rsidRPr="00237D85" w:rsidRDefault="002E3B58" w:rsidP="00320CC4">
      <w:pPr>
        <w:pStyle w:val="CRPD-subsectionheading"/>
        <w:spacing w:line="240" w:lineRule="auto"/>
      </w:pPr>
      <w:r w:rsidRPr="00237D85">
        <w:t>The</w:t>
      </w:r>
      <w:r w:rsidR="00737B39" w:rsidRPr="00237D85">
        <w:t xml:space="preserve"> </w:t>
      </w:r>
      <w:r w:rsidR="00737B39" w:rsidRPr="00237D85">
        <w:rPr>
          <w:rStyle w:val="CRPDStateParty-bodyitalicsChar"/>
          <w:noProof w:val="0"/>
        </w:rPr>
        <w:t>Disability Action Plan 2014-2018</w:t>
      </w:r>
      <w:r w:rsidR="00CE122A" w:rsidRPr="00237D85">
        <w:rPr>
          <w:rStyle w:val="FootnoteReference"/>
        </w:rPr>
        <w:footnoteReference w:id="28"/>
      </w:r>
      <w:r w:rsidR="00FD1524" w:rsidRPr="00237D85">
        <w:t xml:space="preserve"> </w:t>
      </w:r>
      <w:r w:rsidRPr="00237D85">
        <w:t xml:space="preserve">includes an action to </w:t>
      </w:r>
      <w:r w:rsidR="00737B39" w:rsidRPr="00237D85">
        <w:t xml:space="preserve">identify legislation that is </w:t>
      </w:r>
      <w:r w:rsidR="003A3912" w:rsidRPr="00DF7BC7">
        <w:t>in</w:t>
      </w:r>
      <w:r w:rsidR="00737B39" w:rsidRPr="00DC6D0D">
        <w:t xml:space="preserve">consistent with the </w:t>
      </w:r>
      <w:r w:rsidR="003D1AC6" w:rsidRPr="00453BF5">
        <w:t>CRPD</w:t>
      </w:r>
      <w:r w:rsidR="00737B39" w:rsidRPr="00B10254">
        <w:t xml:space="preserve"> and explore options to improve consistency</w:t>
      </w:r>
      <w:r w:rsidRPr="00B10254">
        <w:rPr>
          <w:rStyle w:val="FootnoteReference"/>
        </w:rPr>
        <w:footnoteReference w:id="29"/>
      </w:r>
      <w:r w:rsidR="00737B39" w:rsidRPr="00B10254">
        <w:t xml:space="preserve">. </w:t>
      </w:r>
      <w:r w:rsidR="002D4691">
        <w:t>The Office for Disability Issues</w:t>
      </w:r>
      <w:r w:rsidR="005A5A93" w:rsidRPr="00B10254">
        <w:t xml:space="preserve"> identified</w:t>
      </w:r>
      <w:r w:rsidR="00BD194B" w:rsidRPr="00B10254">
        <w:t>,</w:t>
      </w:r>
      <w:r w:rsidR="005A5A93" w:rsidRPr="00B10254">
        <w:t xml:space="preserve"> </w:t>
      </w:r>
      <w:r w:rsidR="00B947D8" w:rsidRPr="00B10254">
        <w:t>through consultation</w:t>
      </w:r>
      <w:r w:rsidR="00BD194B" w:rsidRPr="00B10254">
        <w:t>,</w:t>
      </w:r>
      <w:r w:rsidR="00B947D8" w:rsidRPr="00B10254">
        <w:t xml:space="preserve"> </w:t>
      </w:r>
      <w:r w:rsidR="005A5A93" w:rsidRPr="00B10254">
        <w:t xml:space="preserve">a list of legislation that </w:t>
      </w:r>
      <w:r w:rsidR="003A3912" w:rsidRPr="00B10254">
        <w:t>appear</w:t>
      </w:r>
      <w:r w:rsidR="00965A71">
        <w:t>s</w:t>
      </w:r>
      <w:r w:rsidR="003A3912" w:rsidRPr="00B10254">
        <w:t xml:space="preserve"> to </w:t>
      </w:r>
      <w:r w:rsidR="005A5A93" w:rsidRPr="00B10254">
        <w:t xml:space="preserve">contradict the </w:t>
      </w:r>
      <w:r w:rsidR="003D1AC6" w:rsidRPr="00B10254">
        <w:t>CRPD</w:t>
      </w:r>
      <w:r w:rsidR="005A5A93" w:rsidRPr="00B10254">
        <w:t xml:space="preserve">. </w:t>
      </w:r>
      <w:r w:rsidR="00965A71">
        <w:t xml:space="preserve">The next step is to evaluate </w:t>
      </w:r>
      <w:r w:rsidR="00064AFD" w:rsidRPr="00B10254">
        <w:t>that</w:t>
      </w:r>
      <w:r w:rsidR="005A5A93" w:rsidRPr="00B10254">
        <w:t xml:space="preserve"> legislation</w:t>
      </w:r>
      <w:r w:rsidR="00064AFD" w:rsidRPr="00B10254">
        <w:t>.</w:t>
      </w:r>
    </w:p>
    <w:p w:rsidR="00E64FBD" w:rsidRPr="00237D85" w:rsidRDefault="00E64FBD" w:rsidP="00320CC4">
      <w:pPr>
        <w:pStyle w:val="CRPD-Questionstyle"/>
        <w:widowControl w:val="0"/>
        <w:spacing w:line="240" w:lineRule="auto"/>
        <w:rPr>
          <w:lang w:val="en-NZ"/>
        </w:rPr>
      </w:pPr>
      <w:r w:rsidRPr="00237D85">
        <w:rPr>
          <w:lang w:val="en-NZ"/>
        </w:rPr>
        <w:t>2.</w:t>
      </w:r>
      <w:r w:rsidRPr="00237D85">
        <w:rPr>
          <w:lang w:val="en-NZ"/>
        </w:rPr>
        <w:tab/>
      </w:r>
      <w:r w:rsidR="00F056B9">
        <w:rPr>
          <w:lang w:val="en-NZ"/>
        </w:rPr>
        <w:t>H</w:t>
      </w:r>
      <w:r w:rsidRPr="00237D85">
        <w:rPr>
          <w:lang w:val="en-NZ"/>
        </w:rPr>
        <w:t xml:space="preserve">ow the State party is coordinating and facilitating action under the </w:t>
      </w:r>
      <w:r w:rsidR="002D21E1">
        <w:rPr>
          <w:lang w:val="en-NZ"/>
        </w:rPr>
        <w:t>NZ</w:t>
      </w:r>
      <w:r w:rsidRPr="00237D85">
        <w:rPr>
          <w:lang w:val="en-NZ"/>
        </w:rPr>
        <w:t xml:space="preserve"> Disability Strategy 2016–2026 and other measures for implementing the Convention, including the level of resources allocated to such strategies, the mechanisms responsible for their implementation, the outcomes achieved and the process for evaluating and monitoring their impact.</w:t>
      </w:r>
    </w:p>
    <w:p w:rsidR="0070209A" w:rsidRPr="00797716" w:rsidRDefault="0070209A" w:rsidP="00320CC4">
      <w:pPr>
        <w:pStyle w:val="CRPD-subsectionheading"/>
        <w:spacing w:line="240" w:lineRule="auto"/>
      </w:pPr>
      <w:r w:rsidRPr="00797716">
        <w:lastRenderedPageBreak/>
        <w:t xml:space="preserve">The Government coordinates and facilitates action under the Disability Strategy through the Disability Action Plan. </w:t>
      </w:r>
    </w:p>
    <w:p w:rsidR="0070209A" w:rsidRPr="00797716" w:rsidRDefault="0070209A" w:rsidP="00320CC4">
      <w:pPr>
        <w:pStyle w:val="CRPD-subsectionheading"/>
        <w:spacing w:line="240" w:lineRule="auto"/>
      </w:pPr>
      <w:r w:rsidRPr="00797716">
        <w:t xml:space="preserve">The existing </w:t>
      </w:r>
      <w:r w:rsidRPr="00797716">
        <w:rPr>
          <w:rStyle w:val="CRPDStateParty-bodyitalicsChar"/>
          <w:rFonts w:cs="Arial"/>
          <w:i w:val="0"/>
          <w:noProof w:val="0"/>
        </w:rPr>
        <w:t>Disability Action Plan 2014-2018</w:t>
      </w:r>
      <w:r w:rsidRPr="00797716">
        <w:t xml:space="preserve"> has h</w:t>
      </w:r>
      <w:r w:rsidR="008E121A">
        <w:t>igh-</w:t>
      </w:r>
      <w:r w:rsidRPr="00797716">
        <w:t xml:space="preserve">priority and significant actions led by multiple government agencies. Government agencies lead implementation of each action, working closely with the designated lead from the </w:t>
      </w:r>
      <w:r w:rsidR="004313F6">
        <w:t>DPO</w:t>
      </w:r>
      <w:r w:rsidR="004313F6" w:rsidRPr="00797716">
        <w:t xml:space="preserve"> </w:t>
      </w:r>
      <w:r w:rsidRPr="00797716">
        <w:t>Coalition. Any resourcing requirements are managed through government agencies’ operational budgets. Implementation, outcomes, evaluation and monitoring of actions occur through usual government agency processes.</w:t>
      </w:r>
    </w:p>
    <w:p w:rsidR="004313F6" w:rsidRPr="00797716" w:rsidRDefault="004313F6" w:rsidP="00320CC4">
      <w:pPr>
        <w:pStyle w:val="CRPD-subsectionheading"/>
        <w:spacing w:line="240" w:lineRule="auto"/>
      </w:pPr>
      <w:r w:rsidRPr="00797716">
        <w:t xml:space="preserve">The governance mechanism for the Disability Action Plan is a public service Chief Executives’ group (and associated Senior Officials Group) and the DPO Coalition. </w:t>
      </w:r>
    </w:p>
    <w:p w:rsidR="00312CBA" w:rsidRPr="00797716" w:rsidRDefault="0070209A" w:rsidP="00320CC4">
      <w:pPr>
        <w:pStyle w:val="CRPD-subsectionheading"/>
        <w:spacing w:line="240" w:lineRule="auto"/>
      </w:pPr>
      <w:r w:rsidRPr="00797716">
        <w:t>The Government</w:t>
      </w:r>
      <w:r w:rsidR="004313F6">
        <w:t>, alongside the DPO Coalition,</w:t>
      </w:r>
      <w:r w:rsidRPr="00797716">
        <w:t xml:space="preserve"> is </w:t>
      </w:r>
      <w:r w:rsidR="004313F6">
        <w:t xml:space="preserve">developing </w:t>
      </w:r>
      <w:r w:rsidRPr="00797716">
        <w:t xml:space="preserve">a new Disability Action Plan </w:t>
      </w:r>
      <w:r w:rsidR="00990A0F">
        <w:t>(</w:t>
      </w:r>
      <w:r w:rsidRPr="00797716">
        <w:t>2019-2022</w:t>
      </w:r>
      <w:r w:rsidR="00990A0F">
        <w:t>)</w:t>
      </w:r>
      <w:r w:rsidRPr="00797716">
        <w:t xml:space="preserve"> </w:t>
      </w:r>
      <w:r w:rsidR="004313F6">
        <w:t>following</w:t>
      </w:r>
      <w:r w:rsidR="00507E45">
        <w:t xml:space="preserve"> public</w:t>
      </w:r>
      <w:r w:rsidR="004313F6">
        <w:t xml:space="preserve"> consultation. </w:t>
      </w:r>
      <w:r w:rsidR="00D44EE1" w:rsidRPr="00797716">
        <w:t>This Plan will align more closely wi</w:t>
      </w:r>
      <w:r w:rsidR="004313F6">
        <w:t>th the 2016 Disability Strategy</w:t>
      </w:r>
      <w:r w:rsidR="008E121A">
        <w:t xml:space="preserve"> and </w:t>
      </w:r>
      <w:r w:rsidR="004313F6">
        <w:t xml:space="preserve">include </w:t>
      </w:r>
      <w:r w:rsidRPr="00797716">
        <w:t>the six key issues</w:t>
      </w:r>
      <w:r w:rsidR="003B625B">
        <w:t xml:space="preserve"> identified by the </w:t>
      </w:r>
      <w:r w:rsidR="000E5BE2">
        <w:t>IMM</w:t>
      </w:r>
      <w:r w:rsidRPr="00922AFF">
        <w:rPr>
          <w:rStyle w:val="FootnoteReference"/>
          <w:rFonts w:ascii="Verdana" w:hAnsi="Verdana"/>
          <w:sz w:val="20"/>
        </w:rPr>
        <w:footnoteReference w:id="30"/>
      </w:r>
      <w:r w:rsidRPr="00797716">
        <w:t xml:space="preserve">. </w:t>
      </w:r>
      <w:r w:rsidR="00312CBA" w:rsidRPr="00797716">
        <w:t>Work has begun to progress these issues through the Ministers’ Leadership Group on Disability Issues</w:t>
      </w:r>
      <w:r w:rsidR="00D44EE1" w:rsidRPr="00797716">
        <w:t xml:space="preserve"> alongside the </w:t>
      </w:r>
      <w:r w:rsidR="000E5BE2">
        <w:t>IMM</w:t>
      </w:r>
      <w:r w:rsidR="00D44EE1" w:rsidRPr="00797716">
        <w:t>.</w:t>
      </w:r>
    </w:p>
    <w:p w:rsidR="00737B39" w:rsidRPr="00237D85" w:rsidRDefault="004313F6" w:rsidP="00320CC4">
      <w:pPr>
        <w:pStyle w:val="CRPD-subsectionheading"/>
        <w:spacing w:line="240" w:lineRule="auto"/>
      </w:pPr>
      <w:r>
        <w:t>An</w:t>
      </w:r>
      <w:r w:rsidR="005C5410" w:rsidRPr="00797716">
        <w:t xml:space="preserve"> Outcomes Framework</w:t>
      </w:r>
      <w:r w:rsidR="00965A71">
        <w:t xml:space="preserve"> </w:t>
      </w:r>
      <w:r>
        <w:t xml:space="preserve">is being developed </w:t>
      </w:r>
      <w:r w:rsidR="00965A71">
        <w:t>to monitor progress against</w:t>
      </w:r>
      <w:r w:rsidR="005C5410" w:rsidRPr="00797716">
        <w:t xml:space="preserve"> the </w:t>
      </w:r>
      <w:r w:rsidR="002D21E1" w:rsidRPr="00797716">
        <w:rPr>
          <w:rStyle w:val="CRPDStateParty-bodyitalicsChar"/>
          <w:rFonts w:cs="Arial"/>
          <w:i w:val="0"/>
          <w:noProof w:val="0"/>
        </w:rPr>
        <w:t>Disability Strategy</w:t>
      </w:r>
      <w:r w:rsidR="005C5410" w:rsidRPr="00922AFF">
        <w:rPr>
          <w:rStyle w:val="FootnoteReference"/>
          <w:rFonts w:ascii="Verdana" w:hAnsi="Verdana"/>
          <w:sz w:val="20"/>
        </w:rPr>
        <w:footnoteReference w:id="31"/>
      </w:r>
      <w:r w:rsidR="0070209A" w:rsidRPr="00797716">
        <w:t>.</w:t>
      </w:r>
      <w:r w:rsidR="005C5410" w:rsidRPr="00797716">
        <w:t xml:space="preserve"> </w:t>
      </w:r>
      <w:r w:rsidR="00ED06CB">
        <w:t>Government and disabled people</w:t>
      </w:r>
      <w:r w:rsidR="003A3264" w:rsidRPr="00922AFF">
        <w:rPr>
          <w:rStyle w:val="FootnoteReference"/>
          <w:rFonts w:ascii="Verdana" w:hAnsi="Verdana"/>
          <w:sz w:val="20"/>
        </w:rPr>
        <w:footnoteReference w:id="32"/>
      </w:r>
      <w:r w:rsidR="00ED06CB">
        <w:t xml:space="preserve"> co-designed the development of </w:t>
      </w:r>
      <w:r>
        <w:t>28</w:t>
      </w:r>
      <w:r w:rsidR="005C5410" w:rsidRPr="00797716">
        <w:t xml:space="preserve"> draft indicators. Not all of the ind</w:t>
      </w:r>
      <w:r>
        <w:t>icators have existing measures and w</w:t>
      </w:r>
      <w:r w:rsidR="003A3264">
        <w:t xml:space="preserve">ork continues to develop measures. </w:t>
      </w:r>
    </w:p>
    <w:p w:rsidR="00E64FBD" w:rsidRPr="00237D85" w:rsidRDefault="00A05AFA" w:rsidP="00320CC4">
      <w:pPr>
        <w:pStyle w:val="CRPD-Questionstyle"/>
        <w:widowControl w:val="0"/>
        <w:spacing w:line="240" w:lineRule="auto"/>
        <w:rPr>
          <w:lang w:val="en-NZ"/>
        </w:rPr>
      </w:pPr>
      <w:r>
        <w:rPr>
          <w:lang w:val="en-NZ"/>
        </w:rPr>
        <w:t>3.</w:t>
      </w:r>
      <w:r>
        <w:rPr>
          <w:lang w:val="en-NZ"/>
        </w:rPr>
        <w:tab/>
        <w:t>W</w:t>
      </w:r>
      <w:r w:rsidR="00E64FBD" w:rsidRPr="00237D85">
        <w:rPr>
          <w:lang w:val="en-NZ"/>
        </w:rPr>
        <w:t>hether the State party has consulted with persons with disabilities through their representative organizations about the reform of disability policies.</w:t>
      </w:r>
    </w:p>
    <w:p w:rsidR="003B625B" w:rsidRDefault="003B625B" w:rsidP="00320CC4">
      <w:pPr>
        <w:pStyle w:val="CRPD-subsectionheading"/>
        <w:spacing w:line="240" w:lineRule="auto"/>
      </w:pPr>
      <w:r>
        <w:t>Engagement with disabled people on policy reform that affects them is an expectation of Government agencies. This is one of the Disability Strategy’s key principles.</w:t>
      </w:r>
    </w:p>
    <w:p w:rsidR="00FA412E" w:rsidRDefault="00FA412E" w:rsidP="00320CC4">
      <w:pPr>
        <w:pStyle w:val="CRPD-subsectionheading"/>
        <w:spacing w:line="240" w:lineRule="auto"/>
      </w:pPr>
      <w:r>
        <w:t xml:space="preserve">Disabled </w:t>
      </w:r>
      <w:r w:rsidRPr="00797716">
        <w:t>people</w:t>
      </w:r>
      <w:r>
        <w:t xml:space="preserve"> and their representative organis</w:t>
      </w:r>
      <w:r w:rsidR="00930F3F">
        <w:t>ations are engaged at all level</w:t>
      </w:r>
      <w:r w:rsidR="00507E45">
        <w:t>s</w:t>
      </w:r>
      <w:r w:rsidR="00930F3F">
        <w:t>, for example</w:t>
      </w:r>
      <w:r>
        <w:t>:</w:t>
      </w:r>
    </w:p>
    <w:p w:rsidR="00FA412E" w:rsidRDefault="00FA412E" w:rsidP="00320CC4">
      <w:pPr>
        <w:pStyle w:val="CRPDStateParty-bullets"/>
        <w:widowControl w:val="0"/>
        <w:spacing w:line="240" w:lineRule="auto"/>
      </w:pPr>
      <w:r>
        <w:t xml:space="preserve">regular meetings with Ministers (including the </w:t>
      </w:r>
      <w:r w:rsidRPr="00D44EE1">
        <w:t>Ministers’ Leadership Group on Disability Issues</w:t>
      </w:r>
      <w:r>
        <w:t>)</w:t>
      </w:r>
    </w:p>
    <w:p w:rsidR="00FA412E" w:rsidRDefault="00FA412E" w:rsidP="00320CC4">
      <w:pPr>
        <w:pStyle w:val="CRPDStateParty-bullets"/>
        <w:widowControl w:val="0"/>
        <w:spacing w:line="240" w:lineRule="auto"/>
      </w:pPr>
      <w:r>
        <w:t xml:space="preserve">governance roles </w:t>
      </w:r>
      <w:r w:rsidR="003B625B">
        <w:t>-</w:t>
      </w:r>
      <w:r>
        <w:t xml:space="preserve"> the </w:t>
      </w:r>
      <w:r w:rsidRPr="00CD5C64">
        <w:rPr>
          <w:i/>
        </w:rPr>
        <w:t>Disability Action Plan</w:t>
      </w:r>
      <w:r>
        <w:rPr>
          <w:i/>
        </w:rPr>
        <w:t xml:space="preserve"> 2014-</w:t>
      </w:r>
      <w:r>
        <w:rPr>
          <w:i/>
        </w:rPr>
        <w:lastRenderedPageBreak/>
        <w:t>2018,</w:t>
      </w:r>
      <w:r>
        <w:t xml:space="preserve"> the disability support </w:t>
      </w:r>
      <w:r w:rsidR="003B625B">
        <w:t>system transformation prototype</w:t>
      </w:r>
      <w:r>
        <w:t xml:space="preserve"> and</w:t>
      </w:r>
      <w:r w:rsidR="00930F3F">
        <w:t xml:space="preserve"> the</w:t>
      </w:r>
      <w:r>
        <w:t xml:space="preserve"> NZSL Board</w:t>
      </w:r>
    </w:p>
    <w:p w:rsidR="00FA412E" w:rsidRDefault="00FA412E" w:rsidP="00320CC4">
      <w:pPr>
        <w:pStyle w:val="CRPDStateParty-bullets"/>
        <w:widowControl w:val="0"/>
        <w:spacing w:line="240" w:lineRule="auto"/>
      </w:pPr>
      <w:r>
        <w:t xml:space="preserve">co-design </w:t>
      </w:r>
      <w:r w:rsidR="003B625B">
        <w:t>-</w:t>
      </w:r>
      <w:r>
        <w:t xml:space="preserve"> the disability support system transformati</w:t>
      </w:r>
      <w:r w:rsidR="003B625B">
        <w:t>on prototype (see introduction) and</w:t>
      </w:r>
      <w:r>
        <w:t xml:space="preserve"> the </w:t>
      </w:r>
      <w:r>
        <w:rPr>
          <w:i/>
        </w:rPr>
        <w:t>NZ</w:t>
      </w:r>
      <w:r w:rsidRPr="00A9667B">
        <w:rPr>
          <w:i/>
        </w:rPr>
        <w:t xml:space="preserve"> Disability Strategy Revision Refe</w:t>
      </w:r>
      <w:r w:rsidRPr="00706374">
        <w:rPr>
          <w:i/>
        </w:rPr>
        <w:t>rence Group</w:t>
      </w:r>
      <w:r w:rsidRPr="005C5410">
        <w:rPr>
          <w:rStyle w:val="FootnoteReference"/>
        </w:rPr>
        <w:footnoteReference w:id="33"/>
      </w:r>
      <w:r>
        <w:rPr>
          <w:i/>
        </w:rPr>
        <w:t xml:space="preserve"> </w:t>
      </w:r>
    </w:p>
    <w:p w:rsidR="00FA412E" w:rsidRDefault="00FA412E" w:rsidP="00320CC4">
      <w:pPr>
        <w:pStyle w:val="CRPDStateParty-bullets"/>
        <w:widowControl w:val="0"/>
        <w:spacing w:line="240" w:lineRule="auto"/>
      </w:pPr>
      <w:r>
        <w:t xml:space="preserve">public consultation </w:t>
      </w:r>
      <w:r w:rsidR="00930F3F">
        <w:t>–</w:t>
      </w:r>
      <w:r>
        <w:t xml:space="preserve"> </w:t>
      </w:r>
      <w:r w:rsidR="00930F3F">
        <w:t xml:space="preserve">on </w:t>
      </w:r>
      <w:r>
        <w:t xml:space="preserve">the Disability Strategy and </w:t>
      </w:r>
      <w:r w:rsidRPr="00FA412E">
        <w:rPr>
          <w:i/>
        </w:rPr>
        <w:t>Disability Action Plan 2019-2022</w:t>
      </w:r>
      <w:r>
        <w:t xml:space="preserve">. </w:t>
      </w:r>
    </w:p>
    <w:p w:rsidR="00E64FBD" w:rsidRPr="00237D85" w:rsidRDefault="00E64FBD" w:rsidP="00320CC4">
      <w:pPr>
        <w:pStyle w:val="CRPD-Questionstyle"/>
        <w:widowControl w:val="0"/>
        <w:spacing w:line="240" w:lineRule="auto"/>
        <w:rPr>
          <w:lang w:val="en-NZ"/>
        </w:rPr>
      </w:pPr>
      <w:r w:rsidRPr="00237D85">
        <w:rPr>
          <w:lang w:val="en-NZ"/>
        </w:rPr>
        <w:t>4.</w:t>
      </w:r>
      <w:r w:rsidRPr="00237D85">
        <w:rPr>
          <w:lang w:val="en-NZ"/>
        </w:rPr>
        <w:tab/>
      </w:r>
      <w:r w:rsidR="00A05AFA">
        <w:rPr>
          <w:lang w:val="en-NZ"/>
        </w:rPr>
        <w:t>W</w:t>
      </w:r>
      <w:r w:rsidRPr="00237D85">
        <w:rPr>
          <w:lang w:val="en-NZ"/>
        </w:rPr>
        <w:t>hether the State party, in partnership with persons with disabilities through their representative organizations, has established mechanisms and financial resources to ensure their full and effective participation in the implementation and monitoring of the Convention, particularly concerning persons with disabilities facing multiple and intersectional forms of discrimination.</w:t>
      </w:r>
    </w:p>
    <w:p w:rsidR="005C5410" w:rsidRDefault="005C5410" w:rsidP="00320CC4">
      <w:pPr>
        <w:pStyle w:val="CRPD-subsectionheading"/>
        <w:spacing w:line="240" w:lineRule="auto"/>
      </w:pPr>
      <w:r w:rsidRPr="00007D60">
        <w:t xml:space="preserve">The Government </w:t>
      </w:r>
      <w:r w:rsidR="00523C95">
        <w:t>provides funding for the DPO Coalition to:</w:t>
      </w:r>
    </w:p>
    <w:p w:rsidR="003B625B" w:rsidRDefault="003B625B" w:rsidP="00320CC4">
      <w:pPr>
        <w:pStyle w:val="CRPDStateParty-bullets"/>
        <w:widowControl w:val="0"/>
        <w:spacing w:line="240" w:lineRule="auto"/>
      </w:pPr>
      <w:r>
        <w:t xml:space="preserve">co-lead the </w:t>
      </w:r>
      <w:r w:rsidRPr="00237D85">
        <w:t>development</w:t>
      </w:r>
      <w:r>
        <w:t>, implementation</w:t>
      </w:r>
      <w:r w:rsidRPr="00237D85">
        <w:t xml:space="preserve"> and monitoring of the </w:t>
      </w:r>
      <w:r w:rsidRPr="00237D85">
        <w:rPr>
          <w:rStyle w:val="CRPDStateParty-bodyitalicsChar"/>
          <w:noProof w:val="0"/>
        </w:rPr>
        <w:t>Disability Action Plan 2014-2018</w:t>
      </w:r>
      <w:r>
        <w:rPr>
          <w:rStyle w:val="CRPDStateParty-bodyitalicsChar"/>
          <w:noProof w:val="0"/>
        </w:rPr>
        <w:t xml:space="preserve"> </w:t>
      </w:r>
      <w:r>
        <w:rPr>
          <w:rStyle w:val="CRPDStateParty-bodyitalicsChar"/>
          <w:i w:val="0"/>
          <w:noProof w:val="0"/>
        </w:rPr>
        <w:t>alongside government agencies</w:t>
      </w:r>
      <w:r w:rsidR="00523C95">
        <w:rPr>
          <w:rStyle w:val="CRPDStateParty-bodyitalicsChar"/>
          <w:i w:val="0"/>
          <w:noProof w:val="0"/>
        </w:rPr>
        <w:t xml:space="preserve"> (</w:t>
      </w:r>
      <w:r w:rsidR="00523C95" w:rsidRPr="00237D85">
        <w:t>$100,000 per year</w:t>
      </w:r>
      <w:r w:rsidR="00523C95">
        <w:t>)</w:t>
      </w:r>
    </w:p>
    <w:p w:rsidR="005C5410" w:rsidRPr="00237D85" w:rsidRDefault="005C5410" w:rsidP="00320CC4">
      <w:pPr>
        <w:pStyle w:val="CRPDStateParty-bullets"/>
        <w:widowControl w:val="0"/>
        <w:spacing w:line="240" w:lineRule="auto"/>
      </w:pPr>
      <w:r w:rsidRPr="00237D85">
        <w:t>provide disabled people-led monitoring</w:t>
      </w:r>
      <w:r>
        <w:t xml:space="preserve"> </w:t>
      </w:r>
      <w:r w:rsidR="00930F3F">
        <w:t xml:space="preserve">of the CRPD </w:t>
      </w:r>
      <w:r>
        <w:t xml:space="preserve">as part of the </w:t>
      </w:r>
      <w:r w:rsidR="000E5BE2">
        <w:t>IMM</w:t>
      </w:r>
      <w:r>
        <w:t xml:space="preserve"> (see </w:t>
      </w:r>
      <w:r w:rsidR="003B625B">
        <w:t>question 32</w:t>
      </w:r>
      <w:r w:rsidR="00523C95">
        <w:t>)</w:t>
      </w:r>
      <w:r w:rsidR="00523C95" w:rsidRPr="00523C95">
        <w:t xml:space="preserve"> </w:t>
      </w:r>
      <w:r w:rsidR="00523C95">
        <w:t>(</w:t>
      </w:r>
      <w:r w:rsidR="00523C95" w:rsidRPr="00237D85">
        <w:t>$275,000 per year</w:t>
      </w:r>
      <w:r w:rsidR="00523C95">
        <w:t>).</w:t>
      </w:r>
    </w:p>
    <w:p w:rsidR="005C5410" w:rsidRPr="00D824C5" w:rsidRDefault="00930F3F" w:rsidP="00320CC4">
      <w:pPr>
        <w:pStyle w:val="CRPD-subsectionheading"/>
        <w:spacing w:line="240" w:lineRule="auto"/>
      </w:pPr>
      <w:r>
        <w:t>Following</w:t>
      </w:r>
      <w:r w:rsidR="00D824C5">
        <w:t xml:space="preserve"> a 2017</w:t>
      </w:r>
      <w:r w:rsidR="005C5410" w:rsidRPr="00D824C5">
        <w:t xml:space="preserve"> review</w:t>
      </w:r>
      <w:r w:rsidR="00027302">
        <w:rPr>
          <w:rStyle w:val="FootnoteReference"/>
        </w:rPr>
        <w:footnoteReference w:id="34"/>
      </w:r>
      <w:r w:rsidR="005C5410" w:rsidRPr="00D824C5">
        <w:t>, the DPO Coalition</w:t>
      </w:r>
      <w:r>
        <w:t xml:space="preserve"> </w:t>
      </w:r>
      <w:r w:rsidR="005C5410" w:rsidRPr="00D824C5">
        <w:t>contract</w:t>
      </w:r>
      <w:r>
        <w:t>ed</w:t>
      </w:r>
      <w:r w:rsidR="005C5410" w:rsidRPr="00D824C5">
        <w:t xml:space="preserve"> the Donald Beasley</w:t>
      </w:r>
      <w:r>
        <w:t xml:space="preserve"> </w:t>
      </w:r>
      <w:r w:rsidR="00A05AFA" w:rsidRPr="00D824C5">
        <w:t>Institute</w:t>
      </w:r>
      <w:r w:rsidR="00507E45">
        <w:rPr>
          <w:rStyle w:val="FootnoteReference"/>
        </w:rPr>
        <w:footnoteReference w:id="35"/>
      </w:r>
      <w:r w:rsidR="00A05AFA" w:rsidRPr="00D824C5">
        <w:t xml:space="preserve"> to undertake </w:t>
      </w:r>
      <w:r>
        <w:t>disabled people-led monitoring. This</w:t>
      </w:r>
      <w:r w:rsidR="00A05AFA" w:rsidRPr="00D824C5">
        <w:t xml:space="preserve"> work </w:t>
      </w:r>
      <w:r w:rsidR="005C5410" w:rsidRPr="00D824C5">
        <w:t xml:space="preserve">aims to monitor a broader range of disabled people, and better access the voice of disabled Māori, </w:t>
      </w:r>
      <w:r w:rsidR="00610FD9" w:rsidRPr="00D824C5">
        <w:t xml:space="preserve">disabled </w:t>
      </w:r>
      <w:r w:rsidR="005C5410" w:rsidRPr="00D824C5">
        <w:t xml:space="preserve">Pacific people and people who are non-verbal. </w:t>
      </w:r>
    </w:p>
    <w:p w:rsidR="00E64FBD" w:rsidRPr="00237D85" w:rsidRDefault="00E64FBD" w:rsidP="00320CC4">
      <w:pPr>
        <w:pStyle w:val="HChG"/>
        <w:keepNext w:val="0"/>
        <w:widowControl w:val="0"/>
        <w:spacing w:line="240" w:lineRule="auto"/>
        <w:ind w:left="2268"/>
        <w:jc w:val="both"/>
        <w:rPr>
          <w:lang w:val="en-NZ"/>
        </w:rPr>
      </w:pPr>
      <w:r w:rsidRPr="00237D85">
        <w:rPr>
          <w:lang w:val="en-NZ"/>
        </w:rPr>
        <w:t>B.</w:t>
      </w:r>
      <w:r w:rsidRPr="00237D85">
        <w:rPr>
          <w:lang w:val="en-NZ"/>
        </w:rPr>
        <w:tab/>
      </w:r>
      <w:bookmarkStart w:id="1" w:name="_Hlk512434659"/>
      <w:r w:rsidRPr="00237D85">
        <w:rPr>
          <w:lang w:val="en-NZ"/>
        </w:rPr>
        <w:t>Specific rights (arts. 5–30)</w:t>
      </w:r>
    </w:p>
    <w:p w:rsidR="00E64FBD" w:rsidRPr="00523C95" w:rsidRDefault="00E64FBD" w:rsidP="00320CC4">
      <w:pPr>
        <w:pStyle w:val="CRPD-Questionstyle"/>
        <w:widowControl w:val="0"/>
        <w:spacing w:line="240" w:lineRule="auto"/>
        <w:rPr>
          <w:rFonts w:ascii="Times New Roman" w:hAnsi="Times New Roman"/>
          <w:sz w:val="28"/>
          <w:szCs w:val="24"/>
        </w:rPr>
      </w:pPr>
      <w:r w:rsidRPr="00523C95">
        <w:rPr>
          <w:rFonts w:ascii="Times New Roman" w:hAnsi="Times New Roman"/>
          <w:sz w:val="28"/>
          <w:szCs w:val="24"/>
        </w:rPr>
        <w:t>Equality and non-discrimination (art. 5)</w:t>
      </w:r>
    </w:p>
    <w:p w:rsidR="00E64FBD" w:rsidRPr="00237D85" w:rsidRDefault="00E64FBD" w:rsidP="00320CC4">
      <w:pPr>
        <w:pStyle w:val="CRPD-Questionstyle"/>
        <w:widowControl w:val="0"/>
        <w:spacing w:line="240" w:lineRule="auto"/>
        <w:rPr>
          <w:lang w:val="en-NZ"/>
        </w:rPr>
      </w:pPr>
      <w:r w:rsidRPr="00237D85">
        <w:rPr>
          <w:lang w:val="en-NZ"/>
        </w:rPr>
        <w:t>5.</w:t>
      </w:r>
      <w:r w:rsidRPr="00237D85">
        <w:rPr>
          <w:lang w:val="en-NZ"/>
        </w:rPr>
        <w:tab/>
      </w:r>
    </w:p>
    <w:p w:rsidR="00E64FBD" w:rsidRPr="00237D85" w:rsidRDefault="00E64FBD" w:rsidP="00320CC4">
      <w:pPr>
        <w:pStyle w:val="CRPD-Questionstyle"/>
        <w:widowControl w:val="0"/>
        <w:spacing w:line="240" w:lineRule="auto"/>
        <w:ind w:firstLine="567"/>
        <w:rPr>
          <w:lang w:val="en-NZ"/>
        </w:rPr>
      </w:pPr>
      <w:r w:rsidRPr="00237D85">
        <w:rPr>
          <w:lang w:val="en-NZ"/>
        </w:rPr>
        <w:t>(a)</w:t>
      </w:r>
      <w:r w:rsidRPr="00237D85">
        <w:rPr>
          <w:lang w:val="en-NZ"/>
        </w:rPr>
        <w:tab/>
        <w:t xml:space="preserve">Measures taken to ensure that the anti-discrimination framework in the State party encompasses all forms of discrimination on the basis of disability, including the denial of reasonable accommodation, discrimination by association and multiple and intersectional discrimination faced by </w:t>
      </w:r>
      <w:r w:rsidRPr="00237D85">
        <w:rPr>
          <w:lang w:val="en-NZ"/>
        </w:rPr>
        <w:lastRenderedPageBreak/>
        <w:t>children, women, migrants, refugees, asylum seekers, Māori and Pacific and lesbian, gay, bisexual, transgender and intersex persons with disabilities;</w:t>
      </w:r>
    </w:p>
    <w:p w:rsidR="00737B39" w:rsidRPr="00237D85" w:rsidRDefault="00447C06" w:rsidP="00320CC4">
      <w:pPr>
        <w:pStyle w:val="CRPD-subsectionheading"/>
        <w:spacing w:line="240" w:lineRule="auto"/>
      </w:pPr>
      <w:r w:rsidRPr="00237D85">
        <w:t xml:space="preserve">The </w:t>
      </w:r>
      <w:r w:rsidRPr="00237D85">
        <w:rPr>
          <w:i/>
        </w:rPr>
        <w:t>Human Rights Act 1993</w:t>
      </w:r>
      <w:r w:rsidRPr="00237D85">
        <w:t xml:space="preserve"> sets out </w:t>
      </w:r>
      <w:r w:rsidR="002D21E1">
        <w:t>NZ</w:t>
      </w:r>
      <w:r w:rsidR="00737B39" w:rsidRPr="00237D85">
        <w:t>’s anti-discrimination framework protect</w:t>
      </w:r>
      <w:r w:rsidRPr="00237D85">
        <w:t>ing</w:t>
      </w:r>
      <w:r w:rsidR="00737B39" w:rsidRPr="00237D85">
        <w:t xml:space="preserve"> </w:t>
      </w:r>
      <w:r w:rsidR="002D21E1">
        <w:t>New Zealanders</w:t>
      </w:r>
      <w:r w:rsidR="00737B39" w:rsidRPr="00237D85">
        <w:t xml:space="preserve"> from discrimination in a number of areas of public life</w:t>
      </w:r>
      <w:r w:rsidR="00045E2A" w:rsidRPr="00237D85">
        <w:rPr>
          <w:rStyle w:val="FootnoteReference"/>
        </w:rPr>
        <w:footnoteReference w:id="36"/>
      </w:r>
      <w:r w:rsidR="00737B39" w:rsidRPr="00237D85">
        <w:t xml:space="preserve">. </w:t>
      </w:r>
      <w:r w:rsidR="000873F8" w:rsidRPr="000873F8">
        <w:rPr>
          <w:i/>
        </w:rPr>
        <w:t>The NZ Bill of Rights Act 1990</w:t>
      </w:r>
      <w:r w:rsidR="000873F8" w:rsidRPr="000873F8">
        <w:t xml:space="preserve"> also affirms the right to be free from discrimination on the same grounds as set out in the Human Rights Act, where that discrimina</w:t>
      </w:r>
      <w:r w:rsidR="000873F8">
        <w:t>tion is undertaken by the State.</w:t>
      </w:r>
    </w:p>
    <w:p w:rsidR="00396CBF" w:rsidRPr="00237D85" w:rsidRDefault="001C4256" w:rsidP="00320CC4">
      <w:pPr>
        <w:pStyle w:val="CRPD-subsectionheading"/>
        <w:spacing w:line="240" w:lineRule="auto"/>
      </w:pPr>
      <w:r w:rsidRPr="00237D85">
        <w:t>D</w:t>
      </w:r>
      <w:r w:rsidR="00737B39" w:rsidRPr="00237D85">
        <w:t>iscrimination is prohibited</w:t>
      </w:r>
      <w:r w:rsidRPr="00237D85">
        <w:t xml:space="preserve"> on the grounds of</w:t>
      </w:r>
      <w:r w:rsidR="00396CBF" w:rsidRPr="00237D85">
        <w:t>:</w:t>
      </w:r>
    </w:p>
    <w:p w:rsidR="00396CBF" w:rsidRPr="00237D85" w:rsidRDefault="00610FD9" w:rsidP="00320CC4">
      <w:pPr>
        <w:pStyle w:val="CRPDStateParty-bullets"/>
        <w:widowControl w:val="0"/>
        <w:spacing w:line="240" w:lineRule="auto"/>
        <w:rPr>
          <w:lang w:val="en-NZ"/>
        </w:rPr>
      </w:pPr>
      <w:r>
        <w:rPr>
          <w:lang w:val="en-NZ"/>
        </w:rPr>
        <w:t>sex (</w:t>
      </w:r>
      <w:r w:rsidR="00396CBF" w:rsidRPr="00237D85">
        <w:rPr>
          <w:lang w:val="en-NZ"/>
        </w:rPr>
        <w:t>which includes</w:t>
      </w:r>
      <w:r w:rsidR="00046C73" w:rsidRPr="00237D85">
        <w:rPr>
          <w:lang w:val="en-NZ"/>
        </w:rPr>
        <w:t xml:space="preserve"> gender</w:t>
      </w:r>
      <w:r>
        <w:rPr>
          <w:lang w:val="en-NZ"/>
        </w:rPr>
        <w:t>)</w:t>
      </w:r>
    </w:p>
    <w:p w:rsidR="00396CBF" w:rsidRPr="00237D85" w:rsidRDefault="00396CBF" w:rsidP="00320CC4">
      <w:pPr>
        <w:pStyle w:val="CRPDStateParty-bullets"/>
        <w:widowControl w:val="0"/>
        <w:spacing w:line="240" w:lineRule="auto"/>
        <w:rPr>
          <w:lang w:val="en-NZ"/>
        </w:rPr>
      </w:pPr>
      <w:r w:rsidRPr="00237D85">
        <w:rPr>
          <w:lang w:val="en-NZ"/>
        </w:rPr>
        <w:t>marital status</w:t>
      </w:r>
    </w:p>
    <w:p w:rsidR="00396CBF" w:rsidRPr="00237D85" w:rsidRDefault="00396CBF" w:rsidP="00320CC4">
      <w:pPr>
        <w:pStyle w:val="CRPDStateParty-bullets"/>
        <w:widowControl w:val="0"/>
        <w:spacing w:line="240" w:lineRule="auto"/>
        <w:rPr>
          <w:lang w:val="en-NZ"/>
        </w:rPr>
      </w:pPr>
      <w:r w:rsidRPr="00237D85">
        <w:rPr>
          <w:lang w:val="en-NZ"/>
        </w:rPr>
        <w:t>religious belief</w:t>
      </w:r>
    </w:p>
    <w:p w:rsidR="00396CBF" w:rsidRPr="00237D85" w:rsidRDefault="00396CBF" w:rsidP="00320CC4">
      <w:pPr>
        <w:pStyle w:val="CRPDStateParty-bullets"/>
        <w:widowControl w:val="0"/>
        <w:spacing w:line="240" w:lineRule="auto"/>
        <w:rPr>
          <w:lang w:val="en-NZ"/>
        </w:rPr>
      </w:pPr>
      <w:r w:rsidRPr="00237D85">
        <w:rPr>
          <w:lang w:val="en-NZ"/>
        </w:rPr>
        <w:t>ethical belief</w:t>
      </w:r>
    </w:p>
    <w:p w:rsidR="00396CBF" w:rsidRPr="00237D85" w:rsidRDefault="00396CBF" w:rsidP="00320CC4">
      <w:pPr>
        <w:pStyle w:val="CRPDStateParty-bullets"/>
        <w:widowControl w:val="0"/>
        <w:spacing w:line="240" w:lineRule="auto"/>
        <w:rPr>
          <w:lang w:val="en-NZ"/>
        </w:rPr>
      </w:pPr>
      <w:r w:rsidRPr="00237D85">
        <w:rPr>
          <w:lang w:val="en-NZ"/>
        </w:rPr>
        <w:t>colour</w:t>
      </w:r>
    </w:p>
    <w:p w:rsidR="00396CBF" w:rsidRPr="00237D85" w:rsidRDefault="00396CBF" w:rsidP="00320CC4">
      <w:pPr>
        <w:pStyle w:val="CRPDStateParty-bullets"/>
        <w:widowControl w:val="0"/>
        <w:spacing w:line="240" w:lineRule="auto"/>
        <w:rPr>
          <w:lang w:val="en-NZ"/>
        </w:rPr>
      </w:pPr>
      <w:r w:rsidRPr="00237D85">
        <w:rPr>
          <w:lang w:val="en-NZ"/>
        </w:rPr>
        <w:t>race</w:t>
      </w:r>
    </w:p>
    <w:p w:rsidR="00396CBF" w:rsidRPr="00237D85" w:rsidRDefault="00396CBF" w:rsidP="00320CC4">
      <w:pPr>
        <w:pStyle w:val="CRPDStateParty-bullets"/>
        <w:widowControl w:val="0"/>
        <w:spacing w:line="240" w:lineRule="auto"/>
        <w:rPr>
          <w:lang w:val="en-NZ"/>
        </w:rPr>
      </w:pPr>
      <w:r w:rsidRPr="00237D85">
        <w:rPr>
          <w:lang w:val="en-NZ"/>
        </w:rPr>
        <w:t>ethnic or national origins</w:t>
      </w:r>
    </w:p>
    <w:p w:rsidR="00046C73" w:rsidRPr="00237D85" w:rsidRDefault="00046C73" w:rsidP="00320CC4">
      <w:pPr>
        <w:pStyle w:val="CRPDStateParty-bullets"/>
        <w:widowControl w:val="0"/>
        <w:spacing w:line="240" w:lineRule="auto"/>
        <w:rPr>
          <w:lang w:val="en-NZ"/>
        </w:rPr>
      </w:pPr>
      <w:r w:rsidRPr="00237D85">
        <w:rPr>
          <w:lang w:val="en-NZ"/>
        </w:rPr>
        <w:t>disability</w:t>
      </w:r>
      <w:r w:rsidRPr="00237D85">
        <w:rPr>
          <w:rStyle w:val="FootnoteReference"/>
          <w:lang w:val="en-NZ"/>
        </w:rPr>
        <w:footnoteReference w:id="37"/>
      </w:r>
    </w:p>
    <w:p w:rsidR="00396CBF" w:rsidRPr="00237D85" w:rsidRDefault="00396CBF" w:rsidP="00320CC4">
      <w:pPr>
        <w:pStyle w:val="CRPDStateParty-bullets"/>
        <w:widowControl w:val="0"/>
        <w:spacing w:line="240" w:lineRule="auto"/>
        <w:rPr>
          <w:lang w:val="en-NZ"/>
        </w:rPr>
      </w:pPr>
      <w:r w:rsidRPr="00237D85">
        <w:rPr>
          <w:lang w:val="en-NZ"/>
        </w:rPr>
        <w:t>age</w:t>
      </w:r>
    </w:p>
    <w:p w:rsidR="00396CBF" w:rsidRPr="00237D85" w:rsidRDefault="00396CBF" w:rsidP="00320CC4">
      <w:pPr>
        <w:pStyle w:val="CRPDStateParty-bullets"/>
        <w:widowControl w:val="0"/>
        <w:spacing w:line="240" w:lineRule="auto"/>
        <w:rPr>
          <w:lang w:val="en-NZ"/>
        </w:rPr>
      </w:pPr>
      <w:r w:rsidRPr="00237D85">
        <w:rPr>
          <w:lang w:val="en-NZ"/>
        </w:rPr>
        <w:t>political opinion</w:t>
      </w:r>
    </w:p>
    <w:p w:rsidR="00396CBF" w:rsidRPr="00237D85" w:rsidRDefault="00396CBF" w:rsidP="00320CC4">
      <w:pPr>
        <w:pStyle w:val="CRPDStateParty-bullets"/>
        <w:widowControl w:val="0"/>
        <w:spacing w:line="240" w:lineRule="auto"/>
        <w:rPr>
          <w:lang w:val="en-NZ"/>
        </w:rPr>
      </w:pPr>
      <w:r w:rsidRPr="00237D85">
        <w:rPr>
          <w:lang w:val="en-NZ"/>
        </w:rPr>
        <w:t>employment status</w:t>
      </w:r>
    </w:p>
    <w:p w:rsidR="00396CBF" w:rsidRPr="00237D85" w:rsidRDefault="00396CBF" w:rsidP="00320CC4">
      <w:pPr>
        <w:pStyle w:val="CRPDStateParty-bullets"/>
        <w:widowControl w:val="0"/>
        <w:spacing w:line="240" w:lineRule="auto"/>
        <w:rPr>
          <w:lang w:val="en-NZ"/>
        </w:rPr>
      </w:pPr>
      <w:r w:rsidRPr="00237D85">
        <w:rPr>
          <w:lang w:val="en-NZ"/>
        </w:rPr>
        <w:t>family status</w:t>
      </w:r>
    </w:p>
    <w:p w:rsidR="00396CBF" w:rsidRPr="00237D85" w:rsidRDefault="00396CBF" w:rsidP="00320CC4">
      <w:pPr>
        <w:pStyle w:val="CRPDStateParty-bullets"/>
        <w:widowControl w:val="0"/>
        <w:spacing w:line="240" w:lineRule="auto"/>
        <w:rPr>
          <w:lang w:val="en-NZ"/>
        </w:rPr>
      </w:pPr>
      <w:r w:rsidRPr="00237D85">
        <w:rPr>
          <w:lang w:val="en-NZ"/>
        </w:rPr>
        <w:t>sexual orientation.</w:t>
      </w:r>
    </w:p>
    <w:p w:rsidR="00737B39" w:rsidRPr="00237D85" w:rsidRDefault="00635873" w:rsidP="00320CC4">
      <w:pPr>
        <w:pStyle w:val="CRPD-subsectionheading"/>
        <w:spacing w:line="240" w:lineRule="auto"/>
      </w:pPr>
      <w:r>
        <w:t xml:space="preserve">Under the </w:t>
      </w:r>
      <w:r w:rsidRPr="00610FD9">
        <w:t>Human Rights Act</w:t>
      </w:r>
      <w:r>
        <w:t xml:space="preserve">, </w:t>
      </w:r>
      <w:r w:rsidR="00BC2726">
        <w:t>a failure to provide reasonable accommodation for a disability can amount to discrimination</w:t>
      </w:r>
      <w:r>
        <w:t xml:space="preserve">. </w:t>
      </w:r>
      <w:r w:rsidR="00046C73" w:rsidRPr="00237D85">
        <w:t>E</w:t>
      </w:r>
      <w:r w:rsidR="00B64B2C" w:rsidRPr="00237D85">
        <w:t>mployer</w:t>
      </w:r>
      <w:r w:rsidR="00046C73" w:rsidRPr="00237D85">
        <w:t>s, suppliers of go</w:t>
      </w:r>
      <w:r w:rsidR="00610FD9">
        <w:t>ods and services, accommodation and</w:t>
      </w:r>
      <w:r w:rsidR="00046C73" w:rsidRPr="00237D85">
        <w:t xml:space="preserve"> education, </w:t>
      </w:r>
      <w:r w:rsidR="00B64B2C" w:rsidRPr="00237D85">
        <w:t>are</w:t>
      </w:r>
      <w:r w:rsidR="001248AE">
        <w:t xml:space="preserve"> </w:t>
      </w:r>
      <w:r w:rsidR="00B64B2C" w:rsidRPr="00237D85">
        <w:t xml:space="preserve">obliged to reasonably accommodate a </w:t>
      </w:r>
      <w:r w:rsidR="00A5427E" w:rsidRPr="00237D85">
        <w:t>disabled person</w:t>
      </w:r>
      <w:r w:rsidR="00B64B2C" w:rsidRPr="00237D85">
        <w:t xml:space="preserve">, including special services or facilities if needed. The </w:t>
      </w:r>
      <w:r w:rsidR="0094691F" w:rsidRPr="00610FD9">
        <w:t xml:space="preserve">Human Rights </w:t>
      </w:r>
      <w:r w:rsidR="00B64B2C" w:rsidRPr="00610FD9">
        <w:t>Act</w:t>
      </w:r>
      <w:r w:rsidR="0041603A" w:rsidRPr="00610FD9">
        <w:t xml:space="preserve"> </w:t>
      </w:r>
      <w:r w:rsidR="00B64B2C" w:rsidRPr="00237D85">
        <w:t>does</w:t>
      </w:r>
      <w:r w:rsidR="0041603A" w:rsidRPr="00237D85">
        <w:t xml:space="preserve"> </w:t>
      </w:r>
      <w:r w:rsidR="00B64B2C" w:rsidRPr="00237D85">
        <w:t>n</w:t>
      </w:r>
      <w:r w:rsidR="0041603A" w:rsidRPr="00237D85">
        <w:t>o</w:t>
      </w:r>
      <w:r w:rsidR="00B64B2C" w:rsidRPr="00237D85">
        <w:t>t define what is ‘reasonable’, and this is determined by the particular circumstances.</w:t>
      </w:r>
    </w:p>
    <w:p w:rsidR="00E757E0" w:rsidRDefault="00396CBF" w:rsidP="00320CC4">
      <w:pPr>
        <w:pStyle w:val="CRPD-subsectionheading"/>
        <w:spacing w:line="240" w:lineRule="auto"/>
      </w:pPr>
      <w:r w:rsidRPr="00237D85">
        <w:lastRenderedPageBreak/>
        <w:t xml:space="preserve">Under the </w:t>
      </w:r>
      <w:r w:rsidR="0094691F" w:rsidRPr="00610FD9">
        <w:t xml:space="preserve">Human Rights </w:t>
      </w:r>
      <w:r w:rsidRPr="00610FD9">
        <w:t>Act,</w:t>
      </w:r>
      <w:r w:rsidRPr="00237D85">
        <w:t xml:space="preserve"> it is</w:t>
      </w:r>
      <w:r w:rsidR="001248AE">
        <w:t xml:space="preserve"> </w:t>
      </w:r>
      <w:r w:rsidR="00CA5DBF">
        <w:t>unlawful</w:t>
      </w:r>
      <w:r w:rsidRPr="00237D85">
        <w:t xml:space="preserve"> to discriminate against relatives or associates of disabled people</w:t>
      </w:r>
      <w:r w:rsidR="00610FD9">
        <w:t xml:space="preserve"> (</w:t>
      </w:r>
      <w:r w:rsidR="00B70EBF">
        <w:t>including</w:t>
      </w:r>
      <w:r w:rsidR="00610FD9">
        <w:t xml:space="preserve"> </w:t>
      </w:r>
      <w:r w:rsidR="00610FD9" w:rsidRPr="00237D85">
        <w:t>a spouse, carer or business partner</w:t>
      </w:r>
      <w:r w:rsidR="00610FD9">
        <w:t>)</w:t>
      </w:r>
      <w:r w:rsidRPr="00237D85">
        <w:t xml:space="preserve"> because of that disability. </w:t>
      </w:r>
    </w:p>
    <w:p w:rsidR="00E64FBD" w:rsidRPr="00237D85" w:rsidRDefault="00E64FBD" w:rsidP="00320CC4">
      <w:pPr>
        <w:pStyle w:val="CRPD-Questionstyle"/>
        <w:widowControl w:val="0"/>
        <w:spacing w:line="240" w:lineRule="auto"/>
        <w:ind w:firstLine="567"/>
        <w:rPr>
          <w:lang w:val="en-NZ"/>
        </w:rPr>
      </w:pPr>
      <w:bookmarkStart w:id="2" w:name="_Hlk512434724"/>
      <w:bookmarkEnd w:id="1"/>
      <w:r w:rsidRPr="00237D85">
        <w:rPr>
          <w:lang w:val="en-NZ"/>
        </w:rPr>
        <w:t>(b)</w:t>
      </w:r>
      <w:r w:rsidRPr="00237D85">
        <w:rPr>
          <w:lang w:val="en-NZ"/>
        </w:rPr>
        <w:tab/>
        <w:t>Statistics on the number and percentage of claims of discrimination on the basis of disability, disaggregated by sex, age, barriers identified and the sector in which discrimination occurred, and on available remedies and redress, including compensation;</w:t>
      </w:r>
    </w:p>
    <w:bookmarkEnd w:id="2"/>
    <w:p w:rsidR="00365C92" w:rsidRDefault="00365C92" w:rsidP="00320CC4">
      <w:pPr>
        <w:pStyle w:val="CRPD-subsectionheading"/>
        <w:spacing w:line="240" w:lineRule="auto"/>
      </w:pPr>
      <w:r>
        <w:t>In the year ending 15 June 2018, the Human Rights Commission received 370 complaints of alleged unl</w:t>
      </w:r>
      <w:r w:rsidR="00990A0F">
        <w:t>awful disability discrimination.</w:t>
      </w:r>
      <w:r>
        <w:t xml:space="preserve"> </w:t>
      </w:r>
    </w:p>
    <w:p w:rsidR="009A5DB8" w:rsidRDefault="00990A0F" w:rsidP="00320CC4">
      <w:pPr>
        <w:pStyle w:val="CRPDStateParty-bullets"/>
        <w:widowControl w:val="0"/>
        <w:spacing w:line="240" w:lineRule="auto"/>
      </w:pPr>
      <w:r>
        <w:t>T</w:t>
      </w:r>
      <w:r w:rsidR="00365C92">
        <w:t>hirty-five of these complaints</w:t>
      </w:r>
      <w:r w:rsidR="009A5DB8">
        <w:t xml:space="preserve"> </w:t>
      </w:r>
      <w:r w:rsidR="00365C92">
        <w:t>alleged unlawful discrimination on multiple grounds, including disability. Disability discrimination coupled with age wa</w:t>
      </w:r>
      <w:r w:rsidR="00930F3F">
        <w:t>s recorded in seven complaints</w:t>
      </w:r>
    </w:p>
    <w:p w:rsidR="00365C92" w:rsidRDefault="00990A0F" w:rsidP="00320CC4">
      <w:pPr>
        <w:pStyle w:val="CRPDStateParty-bullets"/>
        <w:widowControl w:val="0"/>
        <w:spacing w:line="240" w:lineRule="auto"/>
      </w:pPr>
      <w:r>
        <w:t>T</w:t>
      </w:r>
      <w:r w:rsidR="00365C92">
        <w:t xml:space="preserve">here were seven disability and family status complaints and six complaints of both gender and disability discrimination. Other grounds featured with disability were reported in smaller numbers. </w:t>
      </w:r>
    </w:p>
    <w:p w:rsidR="009A5DB8" w:rsidRDefault="009A5DB8" w:rsidP="00320CC4">
      <w:pPr>
        <w:pStyle w:val="CRPD-subsectionheading"/>
        <w:spacing w:line="240" w:lineRule="auto"/>
      </w:pPr>
      <w:r>
        <w:t>I</w:t>
      </w:r>
      <w:r w:rsidRPr="009A5DB8">
        <w:t>n the year ending 30 June 2017</w:t>
      </w:r>
      <w:r w:rsidRPr="009A5DB8">
        <w:rPr>
          <w:rStyle w:val="FootnoteReference"/>
        </w:rPr>
        <w:footnoteReference w:id="38"/>
      </w:r>
      <w:r>
        <w:t>, t</w:t>
      </w:r>
      <w:r w:rsidRPr="009A5DB8">
        <w:t xml:space="preserve">he Human Rights Commission received 419 complaints </w:t>
      </w:r>
      <w:r>
        <w:t xml:space="preserve">of alleged unlawful disability discrimination. </w:t>
      </w:r>
      <w:r w:rsidR="00610FD9" w:rsidRPr="009A5DB8">
        <w:t>These complaints made up the largest proportion of complaints by unlawful grounds.</w:t>
      </w:r>
    </w:p>
    <w:p w:rsidR="00610FD9" w:rsidRDefault="00990A0F" w:rsidP="00320CC4">
      <w:pPr>
        <w:pStyle w:val="CRPDStateParty-bullets"/>
        <w:widowControl w:val="0"/>
        <w:spacing w:line="240" w:lineRule="auto"/>
      </w:pPr>
      <w:r>
        <w:t>M</w:t>
      </w:r>
      <w:r w:rsidR="009A5DB8" w:rsidRPr="009A5DB8">
        <w:t>ost of these complaints were about how disabled people are treated</w:t>
      </w:r>
      <w:r w:rsidR="00507E45">
        <w:t xml:space="preserve"> by public service organisations</w:t>
      </w:r>
      <w:r w:rsidR="009A5DB8" w:rsidRPr="009A5DB8">
        <w:t xml:space="preserve"> in policy or pr</w:t>
      </w:r>
      <w:r w:rsidR="00930F3F">
        <w:t>actice, particularly in schools</w:t>
      </w:r>
      <w:r w:rsidR="00ED1E71">
        <w:t>.</w:t>
      </w:r>
      <w:r w:rsidR="009A5DB8" w:rsidRPr="009A5DB8">
        <w:t xml:space="preserve"> </w:t>
      </w:r>
    </w:p>
    <w:p w:rsidR="009A5DB8" w:rsidRDefault="00990A0F" w:rsidP="00320CC4">
      <w:pPr>
        <w:pStyle w:val="CRPDStateParty-bullets"/>
        <w:widowControl w:val="0"/>
        <w:spacing w:line="240" w:lineRule="auto"/>
      </w:pPr>
      <w:r>
        <w:t>E</w:t>
      </w:r>
      <w:r w:rsidR="009A5DB8" w:rsidRPr="009A5DB8">
        <w:t xml:space="preserve">mployment issues were the second most common complaint from people alleging unlawful </w:t>
      </w:r>
      <w:r w:rsidR="009A5DB8">
        <w:t xml:space="preserve">disability </w:t>
      </w:r>
      <w:r w:rsidR="009A5DB8" w:rsidRPr="009A5DB8">
        <w:t>discrimination.</w:t>
      </w:r>
    </w:p>
    <w:p w:rsidR="00930F3F" w:rsidRDefault="00B3492A" w:rsidP="00320CC4">
      <w:pPr>
        <w:pStyle w:val="CRPD-subsectionheading"/>
        <w:spacing w:line="240" w:lineRule="auto"/>
      </w:pPr>
      <w:r w:rsidRPr="00B3492A">
        <w:t xml:space="preserve">Compliance with </w:t>
      </w:r>
      <w:r>
        <w:t xml:space="preserve">the </w:t>
      </w:r>
      <w:r w:rsidRPr="00B3492A">
        <w:rPr>
          <w:i/>
        </w:rPr>
        <w:t>Human Rights Act 1993</w:t>
      </w:r>
      <w:r w:rsidRPr="00B3492A">
        <w:t xml:space="preserve"> is achieved through</w:t>
      </w:r>
      <w:r w:rsidR="00930F3F">
        <w:t>:</w:t>
      </w:r>
    </w:p>
    <w:p w:rsidR="00930F3F" w:rsidRDefault="00930F3F" w:rsidP="00320CC4">
      <w:pPr>
        <w:pStyle w:val="CRPDStateParty-bullets"/>
        <w:spacing w:line="240" w:lineRule="auto"/>
      </w:pPr>
      <w:r w:rsidRPr="00B3492A">
        <w:t xml:space="preserve">the Human Rights Commission investigative </w:t>
      </w:r>
      <w:r>
        <w:t>function and complaints process</w:t>
      </w:r>
      <w:r w:rsidRPr="00B3492A">
        <w:t xml:space="preserve"> </w:t>
      </w:r>
    </w:p>
    <w:p w:rsidR="00930F3F" w:rsidRPr="009A5DB8" w:rsidRDefault="00930F3F" w:rsidP="00320CC4">
      <w:pPr>
        <w:pStyle w:val="CRPDStateParty-bullets"/>
        <w:spacing w:line="240" w:lineRule="auto"/>
      </w:pPr>
      <w:r w:rsidRPr="00B3492A">
        <w:t>government policy</w:t>
      </w:r>
      <w:r>
        <w:t xml:space="preserve"> </w:t>
      </w:r>
    </w:p>
    <w:p w:rsidR="00930F3F" w:rsidRDefault="00B3492A" w:rsidP="00320CC4">
      <w:pPr>
        <w:pStyle w:val="CRPDStateParty-bullets"/>
        <w:spacing w:line="240" w:lineRule="auto"/>
      </w:pPr>
      <w:r w:rsidRPr="00B3492A">
        <w:t>empowering the rights-holders themselves</w:t>
      </w:r>
      <w:r w:rsidR="00930F3F">
        <w:t>.</w:t>
      </w:r>
    </w:p>
    <w:p w:rsidR="00E64FBD" w:rsidRPr="00237D85" w:rsidRDefault="00930F3F" w:rsidP="00320CC4">
      <w:pPr>
        <w:pStyle w:val="CRPD-Questionstyle"/>
        <w:widowControl w:val="0"/>
        <w:spacing w:line="240" w:lineRule="auto"/>
        <w:ind w:firstLine="567"/>
        <w:rPr>
          <w:lang w:val="en-NZ"/>
        </w:rPr>
      </w:pPr>
      <w:r w:rsidRPr="00237D85">
        <w:rPr>
          <w:lang w:val="en-NZ"/>
        </w:rPr>
        <w:t xml:space="preserve"> </w:t>
      </w:r>
      <w:r w:rsidR="00E64FBD" w:rsidRPr="00237D85">
        <w:rPr>
          <w:lang w:val="en-NZ"/>
        </w:rPr>
        <w:t>(c)</w:t>
      </w:r>
      <w:r w:rsidR="00E64FBD" w:rsidRPr="00237D85">
        <w:rPr>
          <w:lang w:val="en-NZ"/>
        </w:rPr>
        <w:tab/>
        <w:t xml:space="preserve">Progress made to introduce the explicit definition of reasonable accommodation into the Human Rights Act 1993 in conformity with the definition in article 2 of the Convention, which </w:t>
      </w:r>
      <w:r w:rsidR="00E64FBD" w:rsidRPr="00237D85">
        <w:rPr>
          <w:lang w:val="en-NZ"/>
        </w:rPr>
        <w:lastRenderedPageBreak/>
        <w:t xml:space="preserve">encompasses reasonable accommodation in all spheres of life to all persons with disabilities, irrespective of impairment, and about measures adopted to ensure that reasonable accommodation is provided in public and private sectors; </w:t>
      </w:r>
    </w:p>
    <w:p w:rsidR="00BC2726" w:rsidRPr="00610FD9" w:rsidRDefault="00BC2726" w:rsidP="00320CC4">
      <w:pPr>
        <w:pStyle w:val="CRPD-subsectionheading"/>
        <w:spacing w:line="240" w:lineRule="auto"/>
      </w:pPr>
      <w:r w:rsidRPr="00BC2726">
        <w:t xml:space="preserve">The </w:t>
      </w:r>
      <w:r>
        <w:t>CRPD’s</w:t>
      </w:r>
      <w:r w:rsidR="00610FD9">
        <w:t xml:space="preserve"> definition of ‘reasonable accommodation’</w:t>
      </w:r>
      <w:r w:rsidRPr="00BC2726">
        <w:t xml:space="preserve"> is already recognised in </w:t>
      </w:r>
      <w:r w:rsidR="002D21E1">
        <w:t>NZ</w:t>
      </w:r>
      <w:r w:rsidRPr="00BC2726">
        <w:t xml:space="preserve"> law</w:t>
      </w:r>
      <w:r>
        <w:t xml:space="preserve"> and</w:t>
      </w:r>
      <w:r w:rsidRPr="00BC2726">
        <w:t xml:space="preserve"> </w:t>
      </w:r>
      <w:r w:rsidR="002D21E1">
        <w:t>NZ</w:t>
      </w:r>
      <w:r w:rsidRPr="00BC2726">
        <w:t xml:space="preserve"> courts have applied it consistently with Article 2</w:t>
      </w:r>
      <w:r>
        <w:t>,</w:t>
      </w:r>
      <w:r w:rsidRPr="00BC2726">
        <w:t xml:space="preserve"> </w:t>
      </w:r>
      <w:r>
        <w:t>CRPD</w:t>
      </w:r>
      <w:r w:rsidRPr="00610FD9">
        <w:rPr>
          <w:vertAlign w:val="superscript"/>
        </w:rPr>
        <w:footnoteReference w:id="39"/>
      </w:r>
      <w:r w:rsidRPr="00610FD9">
        <w:t>.</w:t>
      </w:r>
      <w:r w:rsidR="00610FD9" w:rsidRPr="00610FD9">
        <w:t xml:space="preserve"> NZ also has guidelines on reasonable accommodations</w:t>
      </w:r>
      <w:r w:rsidR="00972A92">
        <w:rPr>
          <w:rStyle w:val="FootnoteReference"/>
        </w:rPr>
        <w:footnoteReference w:id="40"/>
      </w:r>
      <w:r w:rsidR="00610FD9" w:rsidRPr="00610FD9">
        <w:t>.</w:t>
      </w:r>
    </w:p>
    <w:p w:rsidR="00E64FBD" w:rsidRPr="00237D85" w:rsidRDefault="00E64FBD" w:rsidP="00320CC4">
      <w:pPr>
        <w:pStyle w:val="CRPD-Questionstyle"/>
        <w:widowControl w:val="0"/>
        <w:spacing w:line="240" w:lineRule="auto"/>
        <w:ind w:firstLine="567"/>
        <w:rPr>
          <w:lang w:val="en-NZ"/>
        </w:rPr>
      </w:pPr>
      <w:r w:rsidRPr="00237D85">
        <w:rPr>
          <w:lang w:val="en-NZ"/>
        </w:rPr>
        <w:t>(d)</w:t>
      </w:r>
      <w:r w:rsidRPr="00237D85">
        <w:rPr>
          <w:lang w:val="en-NZ"/>
        </w:rPr>
        <w:tab/>
        <w:t>Measures taken to review the eligibility criteria of its Fu</w:t>
      </w:r>
      <w:r w:rsidR="009F0D16" w:rsidRPr="00237D85">
        <w:rPr>
          <w:lang w:val="en-NZ"/>
        </w:rPr>
        <w:t>n</w:t>
      </w:r>
      <w:r w:rsidRPr="00237D85">
        <w:rPr>
          <w:lang w:val="en-NZ"/>
        </w:rPr>
        <w:t xml:space="preserve">ded Family Care Policy and amend Part 4A of the </w:t>
      </w:r>
      <w:r w:rsidR="002D21E1">
        <w:rPr>
          <w:lang w:val="en-NZ"/>
        </w:rPr>
        <w:t>NZ</w:t>
      </w:r>
      <w:r w:rsidRPr="00237D85">
        <w:rPr>
          <w:lang w:val="en-NZ"/>
        </w:rPr>
        <w:t xml:space="preserve"> Public Health and Disability Act 2000 to ensure that all family members who are carers are paid on the same basis as other carers, and are entitled to make complaints of discrimination in respect of the State party’s family care policy. </w:t>
      </w:r>
      <w:r w:rsidR="00610FD9">
        <w:rPr>
          <w:lang w:val="en-NZ"/>
        </w:rPr>
        <w:t>A</w:t>
      </w:r>
      <w:r w:rsidRPr="00237D85">
        <w:rPr>
          <w:lang w:val="en-NZ"/>
        </w:rPr>
        <w:t>ssessments carried out by the State party concerning the implementation of the Funded Family Care Policy and its impact on the rights of persons with disabilities;</w:t>
      </w:r>
    </w:p>
    <w:p w:rsidR="00A429DD" w:rsidRPr="00A429DD" w:rsidRDefault="00A429DD" w:rsidP="00320CC4">
      <w:pPr>
        <w:pStyle w:val="CRPD-subsectionheading"/>
        <w:spacing w:line="240" w:lineRule="auto"/>
      </w:pPr>
      <w:r w:rsidRPr="00A429DD">
        <w:t xml:space="preserve">In September 2018, the Government announced plans to change health service </w:t>
      </w:r>
      <w:r w:rsidR="00610FD9">
        <w:t>‘</w:t>
      </w:r>
      <w:r w:rsidRPr="00A429DD">
        <w:t>Funded Family Care</w:t>
      </w:r>
      <w:r w:rsidR="00610FD9">
        <w:t>’</w:t>
      </w:r>
      <w:r w:rsidRPr="00A429DD">
        <w:t>, including the intention to repeal Part 4A</w:t>
      </w:r>
      <w:r>
        <w:t xml:space="preserve">, </w:t>
      </w:r>
      <w:r w:rsidRPr="00A429DD">
        <w:rPr>
          <w:i/>
        </w:rPr>
        <w:t>NZ Public Health and Disability Act 2000</w:t>
      </w:r>
      <w:r w:rsidRPr="00A429DD">
        <w:t xml:space="preserve">. </w:t>
      </w:r>
      <w:r w:rsidR="00610FD9">
        <w:t>Government held a</w:t>
      </w:r>
      <w:r w:rsidRPr="00A429DD">
        <w:t xml:space="preserve">n intensive targeted stakeholder engagement with an independent facilitator to inform decisions on </w:t>
      </w:r>
      <w:r w:rsidR="00610FD9">
        <w:t>better</w:t>
      </w:r>
      <w:r w:rsidRPr="00A429DD">
        <w:t xml:space="preserve"> ways of supporting family carers through Funded Family Care</w:t>
      </w:r>
      <w:r>
        <w:rPr>
          <w:rStyle w:val="FootnoteReference"/>
        </w:rPr>
        <w:footnoteReference w:id="41"/>
      </w:r>
      <w:r w:rsidRPr="00A429DD">
        <w:t xml:space="preserve">. </w:t>
      </w:r>
    </w:p>
    <w:p w:rsidR="00737B39" w:rsidRPr="00237D85" w:rsidRDefault="00AD1B5B" w:rsidP="00320CC4">
      <w:pPr>
        <w:pStyle w:val="CRPD-subsectionheading"/>
        <w:spacing w:line="240" w:lineRule="auto"/>
      </w:pPr>
      <w:r w:rsidRPr="00237D85">
        <w:t>In 2015, a</w:t>
      </w:r>
      <w:r w:rsidR="00E358BE" w:rsidRPr="00237D85">
        <w:t>n</w:t>
      </w:r>
      <w:r w:rsidR="00737B39" w:rsidRPr="00237D85">
        <w:t xml:space="preserve"> independent evaluation of the Funded Family Care scheme</w:t>
      </w:r>
      <w:r w:rsidR="000A57E2" w:rsidRPr="00237D85">
        <w:t xml:space="preserve"> </w:t>
      </w:r>
      <w:r w:rsidR="00737B39" w:rsidRPr="00237D85">
        <w:t xml:space="preserve">was completed following the first year of operation. While the evaluation found that the policy was having a positive impact for most families, </w:t>
      </w:r>
      <w:r w:rsidR="00610FD9">
        <w:t>some</w:t>
      </w:r>
      <w:r w:rsidR="00737B39" w:rsidRPr="00237D85">
        <w:t xml:space="preserve"> improvements were identified to improve access to</w:t>
      </w:r>
      <w:r w:rsidR="00610FD9">
        <w:t>,</w:t>
      </w:r>
      <w:r w:rsidR="00737B39" w:rsidRPr="00237D85">
        <w:t xml:space="preserve"> and usability of</w:t>
      </w:r>
      <w:r w:rsidR="00610FD9">
        <w:t>,</w:t>
      </w:r>
      <w:r w:rsidR="00737B39" w:rsidRPr="00237D85">
        <w:t xml:space="preserve"> the scheme</w:t>
      </w:r>
      <w:r w:rsidR="00F01EA3" w:rsidRPr="00237D85">
        <w:rPr>
          <w:rStyle w:val="FootnoteReference"/>
        </w:rPr>
        <w:footnoteReference w:id="42"/>
      </w:r>
      <w:r w:rsidR="00F01EA3" w:rsidRPr="00237D85">
        <w:t>.</w:t>
      </w:r>
    </w:p>
    <w:p w:rsidR="00737B39" w:rsidRPr="00237D85" w:rsidRDefault="00AD1B5B" w:rsidP="00320CC4">
      <w:pPr>
        <w:pStyle w:val="CRPD-subsectionheading"/>
        <w:spacing w:line="240" w:lineRule="auto"/>
      </w:pPr>
      <w:r w:rsidRPr="00237D85">
        <w:t xml:space="preserve">In 2016, </w:t>
      </w:r>
      <w:r w:rsidR="000A57E2" w:rsidRPr="00237D85">
        <w:t xml:space="preserve">the scheme </w:t>
      </w:r>
      <w:r w:rsidR="00737B39" w:rsidRPr="00237D85">
        <w:t>was amended to:</w:t>
      </w:r>
    </w:p>
    <w:p w:rsidR="00737B39" w:rsidRPr="00237D85" w:rsidRDefault="00737B39" w:rsidP="00320CC4">
      <w:pPr>
        <w:pStyle w:val="CRPDStateParty-bullets"/>
        <w:widowControl w:val="0"/>
        <w:spacing w:line="240" w:lineRule="auto"/>
        <w:rPr>
          <w:lang w:val="en-NZ"/>
        </w:rPr>
      </w:pPr>
      <w:r w:rsidRPr="00237D85">
        <w:rPr>
          <w:lang w:val="en-NZ"/>
        </w:rPr>
        <w:t>clarify the role</w:t>
      </w:r>
      <w:r w:rsidR="0061093A">
        <w:rPr>
          <w:lang w:val="en-NZ"/>
        </w:rPr>
        <w:t xml:space="preserve"> of the advocate and introduce</w:t>
      </w:r>
      <w:r w:rsidRPr="00237D85">
        <w:rPr>
          <w:lang w:val="en-NZ"/>
        </w:rPr>
        <w:t xml:space="preserve"> supported decision</w:t>
      </w:r>
      <w:r w:rsidR="00360723" w:rsidRPr="00237D85">
        <w:rPr>
          <w:lang w:val="en-NZ"/>
        </w:rPr>
        <w:t>-</w:t>
      </w:r>
      <w:r w:rsidRPr="00237D85">
        <w:rPr>
          <w:lang w:val="en-NZ"/>
        </w:rPr>
        <w:t>making for the disabled person</w:t>
      </w:r>
    </w:p>
    <w:p w:rsidR="0061093A" w:rsidRDefault="00737B39" w:rsidP="00320CC4">
      <w:pPr>
        <w:pStyle w:val="CRPDStateParty-bullets"/>
        <w:widowControl w:val="0"/>
        <w:spacing w:line="240" w:lineRule="auto"/>
        <w:rPr>
          <w:lang w:val="en-NZ"/>
        </w:rPr>
      </w:pPr>
      <w:r w:rsidRPr="0061093A">
        <w:rPr>
          <w:lang w:val="en-NZ"/>
        </w:rPr>
        <w:lastRenderedPageBreak/>
        <w:t>raise awareness with</w:t>
      </w:r>
      <w:r w:rsidR="0061093A" w:rsidRPr="0061093A">
        <w:rPr>
          <w:lang w:val="en-NZ"/>
        </w:rPr>
        <w:t xml:space="preserve"> eligible</w:t>
      </w:r>
      <w:r w:rsidRPr="0061093A">
        <w:rPr>
          <w:lang w:val="en-NZ"/>
        </w:rPr>
        <w:t xml:space="preserve"> disabled people and their carers that </w:t>
      </w:r>
      <w:r w:rsidR="00360723" w:rsidRPr="0061093A">
        <w:rPr>
          <w:lang w:val="en-NZ"/>
        </w:rPr>
        <w:t xml:space="preserve">Funded Family Care </w:t>
      </w:r>
      <w:r w:rsidRPr="0061093A">
        <w:rPr>
          <w:lang w:val="en-NZ"/>
        </w:rPr>
        <w:t xml:space="preserve">may be an option </w:t>
      </w:r>
    </w:p>
    <w:p w:rsidR="00737B39" w:rsidRPr="0061093A" w:rsidRDefault="00737B39" w:rsidP="00320CC4">
      <w:pPr>
        <w:pStyle w:val="CRPDStateParty-bullets"/>
        <w:widowControl w:val="0"/>
        <w:spacing w:line="240" w:lineRule="auto"/>
        <w:rPr>
          <w:lang w:val="en-NZ"/>
        </w:rPr>
      </w:pPr>
      <w:r w:rsidRPr="0061093A">
        <w:rPr>
          <w:lang w:val="en-NZ"/>
        </w:rPr>
        <w:t>improve the application, informed consent and supported decision</w:t>
      </w:r>
      <w:r w:rsidR="00F01EA3" w:rsidRPr="0061093A">
        <w:rPr>
          <w:lang w:val="en-NZ"/>
        </w:rPr>
        <w:t>-</w:t>
      </w:r>
      <w:r w:rsidRPr="0061093A">
        <w:rPr>
          <w:lang w:val="en-NZ"/>
        </w:rPr>
        <w:t>making processes</w:t>
      </w:r>
      <w:r w:rsidR="00F01EA3" w:rsidRPr="0061093A">
        <w:rPr>
          <w:lang w:val="en-NZ"/>
        </w:rPr>
        <w:t xml:space="preserve"> </w:t>
      </w:r>
    </w:p>
    <w:p w:rsidR="00737B39" w:rsidRPr="00A429DD" w:rsidRDefault="00737B39" w:rsidP="00320CC4">
      <w:pPr>
        <w:pStyle w:val="CRPDStateParty-bullets"/>
        <w:widowControl w:val="0"/>
        <w:spacing w:line="240" w:lineRule="auto"/>
        <w:rPr>
          <w:lang w:val="en-NZ"/>
        </w:rPr>
      </w:pPr>
      <w:r w:rsidRPr="00237D85">
        <w:rPr>
          <w:lang w:val="en-NZ"/>
        </w:rPr>
        <w:t xml:space="preserve">decrease follow-up monitoring visits to one in the first month and </w:t>
      </w:r>
      <w:r w:rsidRPr="00A429DD">
        <w:rPr>
          <w:lang w:val="en-NZ"/>
        </w:rPr>
        <w:t>then annual reassessments.</w:t>
      </w:r>
    </w:p>
    <w:p w:rsidR="00F1612F" w:rsidRPr="00A429DD" w:rsidRDefault="0061093A" w:rsidP="00320CC4">
      <w:pPr>
        <w:pStyle w:val="CRPD-subsectionheading"/>
        <w:spacing w:line="240" w:lineRule="auto"/>
      </w:pPr>
      <w:r w:rsidRPr="00A429DD">
        <w:t>Claims for compensation for non-payment of family carers were due to be heard before the High Court in February 2019 but were settled between the parties and the claims discontinued in December 2018</w:t>
      </w:r>
      <w:r w:rsidRPr="00A429DD">
        <w:rPr>
          <w:rStyle w:val="FootnoteReference"/>
        </w:rPr>
        <w:footnoteReference w:id="43"/>
      </w:r>
      <w:r w:rsidRPr="00A429DD">
        <w:t xml:space="preserve">. </w:t>
      </w:r>
    </w:p>
    <w:p w:rsidR="0087458A" w:rsidRPr="00237D85" w:rsidRDefault="00A5427E" w:rsidP="00320CC4">
      <w:pPr>
        <w:pStyle w:val="CRPD-Questionstyle"/>
        <w:widowControl w:val="0"/>
        <w:spacing w:line="240" w:lineRule="auto"/>
        <w:ind w:firstLine="567"/>
        <w:rPr>
          <w:lang w:val="en-NZ"/>
        </w:rPr>
      </w:pPr>
      <w:r w:rsidRPr="00237D85" w:rsidDel="00A5427E">
        <w:rPr>
          <w:lang w:val="en-NZ"/>
        </w:rPr>
        <w:t xml:space="preserve"> </w:t>
      </w:r>
      <w:bookmarkStart w:id="3" w:name="_Hlk512435011"/>
      <w:r w:rsidR="00E64FBD" w:rsidRPr="00237D85">
        <w:rPr>
          <w:lang w:val="en-NZ"/>
        </w:rPr>
        <w:t>(e)</w:t>
      </w:r>
      <w:r w:rsidR="00E64FBD" w:rsidRPr="00237D85">
        <w:rPr>
          <w:lang w:val="en-NZ"/>
        </w:rPr>
        <w:tab/>
        <w:t xml:space="preserve">Specific programmes aimed to reduce </w:t>
      </w:r>
      <w:r w:rsidR="00EA6B8B" w:rsidRPr="00237D85">
        <w:rPr>
          <w:lang w:val="en-NZ"/>
        </w:rPr>
        <w:t xml:space="preserve">the </w:t>
      </w:r>
      <w:r w:rsidR="00E64FBD" w:rsidRPr="00237D85">
        <w:rPr>
          <w:lang w:val="en-NZ"/>
        </w:rPr>
        <w:t>socioeconomic disadvantage of Māori and Pacific persons with disabilities. Please indicate which measures have been taken to deal with the underlying causes of poverty among Māori and Pacific persons with disabilities;</w:t>
      </w:r>
    </w:p>
    <w:bookmarkEnd w:id="3"/>
    <w:p w:rsidR="00CB6C9C" w:rsidRDefault="00CB6C9C" w:rsidP="00320CC4">
      <w:pPr>
        <w:pStyle w:val="CRPD-subsectionheading"/>
        <w:spacing w:line="240" w:lineRule="auto"/>
      </w:pPr>
      <w:r w:rsidRPr="00CB6C9C">
        <w:t xml:space="preserve">The Government has a range of programmes aimed at improving opportunities and outcomes for disabled people, including Māori and Pacific people. </w:t>
      </w:r>
      <w:r>
        <w:t xml:space="preserve">However, there are no specific programmes focused only on </w:t>
      </w:r>
      <w:r w:rsidRPr="00CB6C9C">
        <w:t>Māori and Pacific</w:t>
      </w:r>
      <w:r>
        <w:t xml:space="preserve"> disabled</w:t>
      </w:r>
      <w:r w:rsidRPr="00CB6C9C">
        <w:t xml:space="preserve"> people</w:t>
      </w:r>
      <w:r>
        <w:t xml:space="preserve">. </w:t>
      </w:r>
    </w:p>
    <w:p w:rsidR="00CB6C9C" w:rsidRDefault="00CB6C9C" w:rsidP="00320CC4">
      <w:pPr>
        <w:pStyle w:val="CRPD-subsectionheading"/>
        <w:spacing w:line="240" w:lineRule="auto"/>
      </w:pPr>
      <w:r>
        <w:t>Recent legislative changes</w:t>
      </w:r>
      <w:r>
        <w:rPr>
          <w:rStyle w:val="FootnoteReference"/>
        </w:rPr>
        <w:footnoteReference w:id="44"/>
      </w:r>
      <w:r>
        <w:t xml:space="preserve"> </w:t>
      </w:r>
      <w:r w:rsidRPr="00CB6C9C">
        <w:t xml:space="preserve">place new obligations on the Government </w:t>
      </w:r>
      <w:r>
        <w:t>to identify</w:t>
      </w:r>
      <w:r w:rsidRPr="00CB6C9C">
        <w:t xml:space="preserve"> outcomes and actions for redu</w:t>
      </w:r>
      <w:r w:rsidR="006B6F9C">
        <w:t>cing child poverty and mitigate</w:t>
      </w:r>
      <w:r w:rsidRPr="00CB6C9C">
        <w:t xml:space="preserve"> the impacts of poverty and socio-economic disadvantage experienced by children (see question 26(b)).   </w:t>
      </w:r>
    </w:p>
    <w:p w:rsidR="00183306" w:rsidRDefault="0021775B" w:rsidP="00320CC4">
      <w:pPr>
        <w:pStyle w:val="CRPD-subsectionheading"/>
        <w:spacing w:line="240" w:lineRule="auto"/>
      </w:pPr>
      <w:r>
        <w:t>S</w:t>
      </w:r>
      <w:r w:rsidR="004B7643">
        <w:t xml:space="preserve">ervices exist to support </w:t>
      </w:r>
      <w:r w:rsidR="004F55DD">
        <w:t xml:space="preserve">all </w:t>
      </w:r>
      <w:r w:rsidR="004B7643">
        <w:t xml:space="preserve">disabled </w:t>
      </w:r>
      <w:r w:rsidR="004B7643" w:rsidRPr="00237D85">
        <w:t>people to gain employment</w:t>
      </w:r>
      <w:r w:rsidR="004F55DD">
        <w:t>,</w:t>
      </w:r>
      <w:r w:rsidR="004B7643" w:rsidRPr="00237D85">
        <w:t xml:space="preserve"> including Māori and Pacific</w:t>
      </w:r>
      <w:r w:rsidR="004B7643">
        <w:t xml:space="preserve"> people</w:t>
      </w:r>
      <w:r w:rsidR="004B7643" w:rsidRPr="00237D85">
        <w:t xml:space="preserve">. </w:t>
      </w:r>
    </w:p>
    <w:p w:rsidR="005260F5" w:rsidRDefault="005260F5" w:rsidP="00320CC4">
      <w:pPr>
        <w:pStyle w:val="CRPD-subsectionheading"/>
        <w:spacing w:line="240" w:lineRule="auto"/>
      </w:pPr>
      <w:r w:rsidRPr="005260F5">
        <w:lastRenderedPageBreak/>
        <w:t>Whān</w:t>
      </w:r>
      <w:r w:rsidR="00DD69F4">
        <w:t>au Ora</w:t>
      </w:r>
      <w:r w:rsidR="00610FD9">
        <w:rPr>
          <w:rStyle w:val="FootnoteReference"/>
        </w:rPr>
        <w:footnoteReference w:id="45"/>
      </w:r>
      <w:r w:rsidR="00DD69F4">
        <w:t xml:space="preserve"> takes a strengths-based </w:t>
      </w:r>
      <w:r w:rsidRPr="005260F5">
        <w:t>approach to empower whānau and to create intergenerational improvements in wellbeing. Whānau Ora is delivered through a ‘devolved commissioning model’</w:t>
      </w:r>
      <w:r w:rsidR="00610FD9">
        <w:t>. This means that</w:t>
      </w:r>
      <w:r w:rsidRPr="005260F5">
        <w:t xml:space="preserve"> non-governmen</w:t>
      </w:r>
      <w:r w:rsidR="00610FD9">
        <w:t>tal agencies are contracted by G</w:t>
      </w:r>
      <w:r w:rsidRPr="005260F5">
        <w:t>overnment to deliver a set of wellbeing outcomes</w:t>
      </w:r>
      <w:r w:rsidR="00610FD9">
        <w:t xml:space="preserve">. Funding is invested </w:t>
      </w:r>
      <w:r w:rsidRPr="005260F5">
        <w:t>in services and supports which are responsive to the needs and aspirations of whānau and families within the communities they serve.</w:t>
      </w:r>
    </w:p>
    <w:p w:rsidR="00027302" w:rsidRPr="00ED1E71" w:rsidRDefault="00EF0209" w:rsidP="00320CC4">
      <w:pPr>
        <w:pStyle w:val="CRPD-subsectionheading"/>
        <w:spacing w:line="240" w:lineRule="auto"/>
      </w:pPr>
      <w:r w:rsidRPr="001E6DFB">
        <w:t>Kāpō Māori Aotearoa NZ Incorporated is a Disabled Person’s Organisation that provides support and advice for kāpō (blind, vision impaired, deafblind) Māori and their whānau. There is also work underway to create a Pacific Disabled Person’s Organisation.</w:t>
      </w:r>
      <w:r w:rsidR="00ED1E71">
        <w:t xml:space="preserve"> </w:t>
      </w:r>
    </w:p>
    <w:p w:rsidR="007B19D7" w:rsidRPr="001E6DFB" w:rsidRDefault="00DD69F4" w:rsidP="00320CC4">
      <w:pPr>
        <w:pStyle w:val="CRPD-Questionstyle"/>
        <w:widowControl w:val="0"/>
        <w:spacing w:line="240" w:lineRule="auto"/>
        <w:ind w:firstLine="567"/>
        <w:rPr>
          <w:lang w:val="en-NZ"/>
        </w:rPr>
      </w:pPr>
      <w:r w:rsidRPr="001E6DFB">
        <w:rPr>
          <w:lang w:val="en-NZ"/>
        </w:rPr>
        <w:t xml:space="preserve"> </w:t>
      </w:r>
      <w:r w:rsidR="00E64FBD" w:rsidRPr="001E6DFB">
        <w:rPr>
          <w:lang w:val="en-NZ"/>
        </w:rPr>
        <w:t>(f)</w:t>
      </w:r>
      <w:r w:rsidR="00E64FBD" w:rsidRPr="001E6DFB">
        <w:rPr>
          <w:lang w:val="en-NZ"/>
        </w:rPr>
        <w:tab/>
        <w:t>Measures taken to ensure that all persons with psychosocial and/or intellectual disabilities are identified, supported and accommodated, in particular in the context of education and health.</w:t>
      </w:r>
    </w:p>
    <w:p w:rsidR="00173B8B" w:rsidRPr="001E6DFB" w:rsidRDefault="00173B8B" w:rsidP="00320CC4">
      <w:pPr>
        <w:pStyle w:val="CRPD-subsectionheading"/>
        <w:spacing w:line="240" w:lineRule="auto"/>
      </w:pPr>
      <w:r>
        <w:t>T</w:t>
      </w:r>
      <w:r w:rsidRPr="00173B8B">
        <w:t>he development of a Learning Support Action Plan 2019-2025</w:t>
      </w:r>
      <w:r>
        <w:t xml:space="preserve"> is a priority (see </w:t>
      </w:r>
      <w:r w:rsidR="001F434B">
        <w:t>question</w:t>
      </w:r>
      <w:r>
        <w:t xml:space="preserve"> 22</w:t>
      </w:r>
      <w:r w:rsidR="001F434B">
        <w:t>(</w:t>
      </w:r>
      <w:r>
        <w:t>c</w:t>
      </w:r>
      <w:r w:rsidR="001F434B">
        <w:t>)</w:t>
      </w:r>
      <w:r>
        <w:t>).</w:t>
      </w:r>
    </w:p>
    <w:p w:rsidR="00E17078" w:rsidRPr="001E6DFB" w:rsidRDefault="0032190C" w:rsidP="00320CC4">
      <w:pPr>
        <w:pStyle w:val="CRPD-Questionstyle"/>
        <w:spacing w:line="240" w:lineRule="auto"/>
      </w:pPr>
      <w:r w:rsidRPr="001E6DFB">
        <w:t>Identification</w:t>
      </w:r>
    </w:p>
    <w:p w:rsidR="00DE081C" w:rsidRPr="001E6DFB" w:rsidRDefault="00DE081C" w:rsidP="00320CC4">
      <w:pPr>
        <w:pStyle w:val="CRPD-subsectionheading"/>
        <w:spacing w:line="240" w:lineRule="auto"/>
      </w:pPr>
      <w:r w:rsidRPr="001E6DFB">
        <w:t>Early intervention services</w:t>
      </w:r>
      <w:r w:rsidR="003955E1" w:rsidRPr="001E6DFB">
        <w:rPr>
          <w:rStyle w:val="FootnoteReference"/>
        </w:rPr>
        <w:footnoteReference w:id="46"/>
      </w:r>
      <w:r w:rsidRPr="001E6DFB">
        <w:t xml:space="preserve"> ensure early identification of need and access to learning support from birth onwards. </w:t>
      </w:r>
    </w:p>
    <w:p w:rsidR="00DE081C" w:rsidRPr="00237D85" w:rsidRDefault="00DE081C" w:rsidP="00320CC4">
      <w:pPr>
        <w:pStyle w:val="CRPD-subsectionheading"/>
        <w:spacing w:line="240" w:lineRule="auto"/>
      </w:pPr>
      <w:r w:rsidRPr="001E6DFB">
        <w:t>The B4 School Check</w:t>
      </w:r>
      <w:r w:rsidR="003955E1" w:rsidRPr="001E6DFB">
        <w:rPr>
          <w:rStyle w:val="FootnoteReference"/>
        </w:rPr>
        <w:footnoteReference w:id="47"/>
      </w:r>
      <w:r w:rsidRPr="001E6DFB">
        <w:t xml:space="preserve"> is a universal health programme offered to all families whose child is turning 4 years </w:t>
      </w:r>
      <w:r w:rsidR="00615D31" w:rsidRPr="001E6DFB">
        <w:t>old, which</w:t>
      </w:r>
      <w:r w:rsidRPr="001E6DFB">
        <w:t xml:space="preserve"> aims to identify </w:t>
      </w:r>
      <w:r w:rsidR="003955E1" w:rsidRPr="001E6DFB">
        <w:t>if</w:t>
      </w:r>
      <w:r w:rsidRPr="001E6DFB">
        <w:t xml:space="preserve"> additional</w:t>
      </w:r>
      <w:r w:rsidRPr="00237D85">
        <w:t xml:space="preserve"> support </w:t>
      </w:r>
      <w:r w:rsidR="003955E1">
        <w:t>is needed</w:t>
      </w:r>
      <w:r w:rsidRPr="00237D85">
        <w:t xml:space="preserve"> before a child starts school. </w:t>
      </w:r>
    </w:p>
    <w:p w:rsidR="00DE081C" w:rsidRPr="00237D85" w:rsidRDefault="00DE081C" w:rsidP="00320CC4">
      <w:pPr>
        <w:pStyle w:val="CRPD-subsectionheading"/>
        <w:spacing w:line="240" w:lineRule="auto"/>
      </w:pPr>
      <w:r w:rsidRPr="00237D85">
        <w:t>Children who are not meeting developmental milestones can be referred to the Child Development Service</w:t>
      </w:r>
      <w:r w:rsidR="003955E1">
        <w:t xml:space="preserve">. This service </w:t>
      </w:r>
      <w:r w:rsidRPr="00237D85">
        <w:t>provides specialist assessment</w:t>
      </w:r>
      <w:r w:rsidR="00205A4F">
        <w:t xml:space="preserve">, </w:t>
      </w:r>
      <w:r w:rsidRPr="00237D85">
        <w:t>organises intervention and management services</w:t>
      </w:r>
      <w:r w:rsidR="00205A4F">
        <w:t xml:space="preserve"> and </w:t>
      </w:r>
      <w:r w:rsidRPr="00237D85">
        <w:t>works with other agencies to ensure</w:t>
      </w:r>
      <w:r w:rsidR="003955E1">
        <w:t xml:space="preserve"> that</w:t>
      </w:r>
      <w:r w:rsidRPr="00237D85">
        <w:t xml:space="preserve"> the child gets integrated support.</w:t>
      </w:r>
    </w:p>
    <w:p w:rsidR="00DE081C" w:rsidRPr="00027302" w:rsidRDefault="0032190C" w:rsidP="00320CC4">
      <w:pPr>
        <w:pStyle w:val="CRPD-Questionstyle"/>
        <w:spacing w:line="240" w:lineRule="auto"/>
      </w:pPr>
      <w:r w:rsidRPr="00027302">
        <w:t>Support</w:t>
      </w:r>
    </w:p>
    <w:p w:rsidR="00DE081C" w:rsidRDefault="00B83933" w:rsidP="00320CC4">
      <w:pPr>
        <w:pStyle w:val="CRPD-subsectionheading"/>
        <w:spacing w:line="240" w:lineRule="auto"/>
      </w:pPr>
      <w:r w:rsidRPr="00237D85">
        <w:lastRenderedPageBreak/>
        <w:t xml:space="preserve">The vast majority of </w:t>
      </w:r>
      <w:r w:rsidR="00523C95">
        <w:t>students</w:t>
      </w:r>
      <w:r w:rsidRPr="00237D85">
        <w:t xml:space="preserve"> with </w:t>
      </w:r>
      <w:r w:rsidR="001E6DFB">
        <w:t>high learning needs</w:t>
      </w:r>
      <w:r w:rsidRPr="00237D85">
        <w:t xml:space="preserve"> attend mainstream schools</w:t>
      </w:r>
      <w:r w:rsidR="003468DB">
        <w:t xml:space="preserve"> rather than special schools. Special schools give support to students who have high needs</w:t>
      </w:r>
      <w:r w:rsidR="00D247C6">
        <w:rPr>
          <w:rStyle w:val="FootnoteReference"/>
        </w:rPr>
        <w:footnoteReference w:id="48"/>
      </w:r>
      <w:r w:rsidR="003468DB">
        <w:t xml:space="preserve">. </w:t>
      </w:r>
    </w:p>
    <w:p w:rsidR="00DE081C" w:rsidRPr="00237D85" w:rsidRDefault="00DE081C" w:rsidP="00320CC4">
      <w:pPr>
        <w:pStyle w:val="CRPD-subsectionheading"/>
        <w:spacing w:line="240" w:lineRule="auto"/>
      </w:pPr>
      <w:r w:rsidRPr="00237D85">
        <w:t>The Ongoing Resourcing Scheme</w:t>
      </w:r>
      <w:r w:rsidR="005D0EF7">
        <w:t xml:space="preserve"> provides learning support for </w:t>
      </w:r>
      <w:r w:rsidR="00BF5F94">
        <w:t>9,</w:t>
      </w:r>
      <w:r w:rsidR="00415B0A">
        <w:t>377</w:t>
      </w:r>
      <w:r w:rsidRPr="00237D85">
        <w:t xml:space="preserve"> students</w:t>
      </w:r>
      <w:r w:rsidR="005D0EF7">
        <w:t xml:space="preserve"> (</w:t>
      </w:r>
      <w:r w:rsidR="00BF5F94">
        <w:t>1.</w:t>
      </w:r>
      <w:r w:rsidR="00415B0A">
        <w:t>2</w:t>
      </w:r>
      <w:r w:rsidR="005D0EF7" w:rsidRPr="00BF5F94">
        <w:t>% of the</w:t>
      </w:r>
      <w:r w:rsidR="005D0EF7">
        <w:t xml:space="preserve"> total school population), as at </w:t>
      </w:r>
      <w:r w:rsidR="00BF5F94">
        <w:t>1 July 201</w:t>
      </w:r>
      <w:r w:rsidR="00415B0A">
        <w:t>8</w:t>
      </w:r>
      <w:r w:rsidR="005D0EF7">
        <w:t>,</w:t>
      </w:r>
      <w:r w:rsidRPr="00237D85">
        <w:t xml:space="preserve"> with the highest level of ne</w:t>
      </w:r>
      <w:r w:rsidRPr="00922AFF">
        <w:t xml:space="preserve">ed. </w:t>
      </w:r>
    </w:p>
    <w:p w:rsidR="00045F5F" w:rsidRPr="00045F5F" w:rsidRDefault="00D247C6" w:rsidP="00320CC4">
      <w:pPr>
        <w:pStyle w:val="CRPD-subsectionheading"/>
        <w:spacing w:line="240" w:lineRule="auto"/>
      </w:pPr>
      <w:r>
        <w:t>An Intensive Wraparound Service is</w:t>
      </w:r>
      <w:r w:rsidR="001248AE">
        <w:t xml:space="preserve"> </w:t>
      </w:r>
      <w:r>
        <w:t xml:space="preserve">available for </w:t>
      </w:r>
      <w:r w:rsidRPr="00D247C6">
        <w:t>the small number of students who have behaviour, social and/or learning needs that are highly complex and challenging (and may have associated intellectual difficulty) and require support at school, at home and in the community</w:t>
      </w:r>
      <w:r w:rsidRPr="00045F5F">
        <w:rPr>
          <w:rStyle w:val="FootnoteReference"/>
        </w:rPr>
        <w:footnoteReference w:id="49"/>
      </w:r>
      <w:r w:rsidRPr="00045F5F">
        <w:t>.</w:t>
      </w:r>
      <w:r w:rsidR="00045F5F">
        <w:t xml:space="preserve"> </w:t>
      </w:r>
      <w:r w:rsidR="00045F5F" w:rsidRPr="00045F5F">
        <w:t xml:space="preserve">The number of students who can access </w:t>
      </w:r>
      <w:r w:rsidR="00664EB2">
        <w:t xml:space="preserve">Intensive Wraparound Service </w:t>
      </w:r>
      <w:r w:rsidR="00045F5F" w:rsidRPr="00045F5F">
        <w:t xml:space="preserve">support increased following </w:t>
      </w:r>
      <w:r w:rsidR="00DE081C">
        <w:t>B</w:t>
      </w:r>
      <w:r w:rsidR="00045F5F" w:rsidRPr="00045F5F">
        <w:t xml:space="preserve">udget 2018. </w:t>
      </w:r>
    </w:p>
    <w:p w:rsidR="00366C93" w:rsidRPr="00366C93" w:rsidRDefault="00366C93" w:rsidP="00320CC4">
      <w:pPr>
        <w:pStyle w:val="CRPD-subsectionheading"/>
        <w:spacing w:line="240" w:lineRule="auto"/>
      </w:pPr>
      <w:r w:rsidRPr="00366C93">
        <w:t>In 2018</w:t>
      </w:r>
      <w:r>
        <w:t>,</w:t>
      </w:r>
      <w:r w:rsidRPr="00366C93">
        <w:t xml:space="preserve"> Disability Support Services (DSS) supported almost 34,000 clients. Almost half of these clients had an intellectual disability. DSS purchases disability support services for people (generally under 65 years </w:t>
      </w:r>
      <w:r w:rsidR="004F55DD">
        <w:t>old</w:t>
      </w:r>
      <w:r w:rsidRPr="00366C93">
        <w:t>) with long-term physical, intellectual or sensory impairment</w:t>
      </w:r>
      <w:r w:rsidR="004F55DD">
        <w:t>s</w:t>
      </w:r>
      <w:r w:rsidRPr="00366C93">
        <w:t xml:space="preserve"> that require ongoing support. </w:t>
      </w:r>
    </w:p>
    <w:p w:rsidR="00DE081C" w:rsidRDefault="00366C93" w:rsidP="00320CC4">
      <w:pPr>
        <w:pStyle w:val="CRPD-subsectionheading"/>
        <w:spacing w:line="240" w:lineRule="auto"/>
      </w:pPr>
      <w:r w:rsidRPr="00366C93">
        <w:t>People with an intellectual disability accounted for 83</w:t>
      </w:r>
      <w:r w:rsidR="00922AFF">
        <w:t>%</w:t>
      </w:r>
      <w:r w:rsidRPr="00366C93">
        <w:t xml:space="preserve"> (just over 6,000) of people living in DSS community residential services</w:t>
      </w:r>
      <w:r w:rsidR="00DD69F4">
        <w:t xml:space="preserve">, </w:t>
      </w:r>
      <w:r w:rsidR="004F55DD">
        <w:t>who</w:t>
      </w:r>
      <w:r w:rsidRPr="00366C93">
        <w:t xml:space="preserve"> have access to 24-hour support </w:t>
      </w:r>
      <w:r w:rsidR="00DD69F4">
        <w:t>so they can</w:t>
      </w:r>
      <w:r w:rsidRPr="00366C93">
        <w:t xml:space="preserve"> experience a safe and satisfying home life and live in a community environment. </w:t>
      </w:r>
    </w:p>
    <w:p w:rsidR="00DE081C" w:rsidRPr="00237D85" w:rsidRDefault="00DE081C" w:rsidP="00320CC4">
      <w:pPr>
        <w:pStyle w:val="CRPD-subsectionheading"/>
        <w:spacing w:line="240" w:lineRule="auto"/>
      </w:pPr>
      <w:r w:rsidRPr="00237D85">
        <w:t>Behaviour Support Services work wi</w:t>
      </w:r>
      <w:r w:rsidR="003955E1">
        <w:t xml:space="preserve">th individuals and their family and </w:t>
      </w:r>
      <w:r w:rsidRPr="00237D85">
        <w:t>whānau where the individual has challenging behaviour that may result in exclusion from key elements of society through behaviours that present risk of harm to themselves or others. In 2017,</w:t>
      </w:r>
      <w:r w:rsidR="004F55DD">
        <w:t xml:space="preserve"> </w:t>
      </w:r>
      <w:r w:rsidRPr="00237D85">
        <w:t>1,789 people receiving behaviour support services were aged 18 or under.</w:t>
      </w:r>
    </w:p>
    <w:p w:rsidR="00B83933" w:rsidRPr="00027302" w:rsidRDefault="00756295" w:rsidP="00320CC4">
      <w:pPr>
        <w:pStyle w:val="CRPD-subsectionheading"/>
        <w:spacing w:line="240" w:lineRule="auto"/>
      </w:pPr>
      <w:r w:rsidRPr="00027302">
        <w:t>The Government has</w:t>
      </w:r>
      <w:r w:rsidR="00DE081C" w:rsidRPr="00027302">
        <w:t xml:space="preserve"> updated resources to support schools in providing support for children with psychosocial and/or intellectual disabilities</w:t>
      </w:r>
      <w:r w:rsidR="00DE081C" w:rsidRPr="00027302">
        <w:rPr>
          <w:vertAlign w:val="superscript"/>
        </w:rPr>
        <w:footnoteReference w:id="50"/>
      </w:r>
      <w:r w:rsidR="00DE081C" w:rsidRPr="00027302">
        <w:t xml:space="preserve">. </w:t>
      </w:r>
    </w:p>
    <w:p w:rsidR="00BB6CB7" w:rsidRPr="00027302" w:rsidRDefault="00BB6CB7" w:rsidP="00320CC4">
      <w:pPr>
        <w:pStyle w:val="CRPD-subsectionheading"/>
        <w:spacing w:line="240" w:lineRule="auto"/>
      </w:pPr>
      <w:r w:rsidRPr="00027302">
        <w:lastRenderedPageBreak/>
        <w:t xml:space="preserve">The </w:t>
      </w:r>
      <w:r w:rsidR="00756295" w:rsidRPr="00027302">
        <w:t>Government</w:t>
      </w:r>
      <w:r w:rsidRPr="00027302">
        <w:t xml:space="preserve"> is working to improve access to health services and the health outcomes of people with intellectual/learning disabilities (see </w:t>
      </w:r>
      <w:r w:rsidR="00A96E48" w:rsidRPr="00027302">
        <w:t>question</w:t>
      </w:r>
      <w:r w:rsidRPr="00027302">
        <w:t xml:space="preserve"> 23(a)). </w:t>
      </w:r>
    </w:p>
    <w:p w:rsidR="00756295" w:rsidRDefault="00756295" w:rsidP="00320CC4">
      <w:pPr>
        <w:pStyle w:val="CRPD-Questionstyle"/>
        <w:widowControl w:val="0"/>
        <w:spacing w:line="240" w:lineRule="auto"/>
      </w:pPr>
    </w:p>
    <w:p w:rsidR="00E64FBD" w:rsidRPr="00B73703" w:rsidRDefault="00E64FBD" w:rsidP="00320CC4">
      <w:pPr>
        <w:pStyle w:val="CRPD-Questionstyle"/>
        <w:widowControl w:val="0"/>
        <w:spacing w:line="240" w:lineRule="auto"/>
        <w:rPr>
          <w:rFonts w:ascii="Times New Roman" w:hAnsi="Times New Roman"/>
          <w:sz w:val="28"/>
          <w:szCs w:val="24"/>
        </w:rPr>
      </w:pPr>
      <w:r w:rsidRPr="00B73703">
        <w:rPr>
          <w:rFonts w:ascii="Times New Roman" w:hAnsi="Times New Roman"/>
          <w:sz w:val="28"/>
          <w:szCs w:val="24"/>
        </w:rPr>
        <w:t xml:space="preserve">Women with disabilities (art. 6) </w:t>
      </w:r>
    </w:p>
    <w:p w:rsidR="00E64FBD" w:rsidRPr="00237D85" w:rsidRDefault="00E64FBD" w:rsidP="00320CC4">
      <w:pPr>
        <w:pStyle w:val="CRPD-Questionstyle"/>
        <w:widowControl w:val="0"/>
        <w:spacing w:line="240" w:lineRule="auto"/>
        <w:rPr>
          <w:lang w:val="en-NZ"/>
        </w:rPr>
      </w:pPr>
      <w:r w:rsidRPr="00237D85">
        <w:rPr>
          <w:lang w:val="en-NZ"/>
        </w:rPr>
        <w:t>6.</w:t>
      </w:r>
      <w:r w:rsidRPr="00237D85">
        <w:rPr>
          <w:lang w:val="en-NZ"/>
        </w:rPr>
        <w:tab/>
      </w:r>
    </w:p>
    <w:p w:rsidR="00E64FBD" w:rsidRPr="00931AED" w:rsidRDefault="00E64FBD" w:rsidP="00320CC4">
      <w:pPr>
        <w:pStyle w:val="CRPD-Questionstyle"/>
        <w:widowControl w:val="0"/>
        <w:spacing w:line="240" w:lineRule="auto"/>
        <w:ind w:firstLine="567"/>
        <w:rPr>
          <w:lang w:val="en-NZ"/>
        </w:rPr>
      </w:pPr>
      <w:r w:rsidRPr="00237D85">
        <w:rPr>
          <w:lang w:val="en-NZ"/>
        </w:rPr>
        <w:t>(a)</w:t>
      </w:r>
      <w:r w:rsidRPr="00237D85">
        <w:rPr>
          <w:lang w:val="en-NZ"/>
        </w:rPr>
        <w:tab/>
      </w:r>
      <w:r w:rsidRPr="00931AED">
        <w:rPr>
          <w:lang w:val="en-NZ"/>
        </w:rPr>
        <w:t xml:space="preserve">Measures taken to mainstream a gender perspective in its disability legislation and policy and to mainstream a disability rights perspective into gender legislation and policy; </w:t>
      </w:r>
    </w:p>
    <w:p w:rsidR="00DD69F4" w:rsidRDefault="00FB2E98" w:rsidP="00320CC4">
      <w:pPr>
        <w:pStyle w:val="CRPD-subsectionheading"/>
        <w:spacing w:line="240" w:lineRule="auto"/>
      </w:pPr>
      <w:r w:rsidRPr="00931AED">
        <w:t xml:space="preserve">Since 2002, all Cabinet papers for the Cabinet Social Wellbeing Committee </w:t>
      </w:r>
      <w:r w:rsidR="00DD69F4">
        <w:t>must</w:t>
      </w:r>
      <w:r w:rsidRPr="00931AED">
        <w:t xml:space="preserve"> include</w:t>
      </w:r>
      <w:r w:rsidR="00DD69F4">
        <w:t>:</w:t>
      </w:r>
    </w:p>
    <w:p w:rsidR="00DD69F4" w:rsidRDefault="00FB2E98" w:rsidP="00320CC4">
      <w:pPr>
        <w:pStyle w:val="CRPDStateParty-bullets"/>
        <w:spacing w:line="240" w:lineRule="auto"/>
      </w:pPr>
      <w:r w:rsidRPr="00931AED">
        <w:t xml:space="preserve">a Gender Impact Statement </w:t>
      </w:r>
      <w:r w:rsidR="00DD69F4">
        <w:t xml:space="preserve">– this notes whether a </w:t>
      </w:r>
      <w:r w:rsidRPr="00931AED">
        <w:t xml:space="preserve">gender analysis </w:t>
      </w:r>
      <w:r w:rsidR="00DD69F4">
        <w:t>was undertaken</w:t>
      </w:r>
      <w:r w:rsidRPr="00931AED">
        <w:t>, and whether</w:t>
      </w:r>
      <w:r w:rsidR="00DD69F4">
        <w:t>,</w:t>
      </w:r>
      <w:r w:rsidRPr="00931AED">
        <w:t xml:space="preserve"> and to what extent</w:t>
      </w:r>
      <w:r w:rsidR="00DD69F4">
        <w:t>,</w:t>
      </w:r>
      <w:r w:rsidRPr="00931AED">
        <w:t xml:space="preserve"> the policy proposal is expected to affect men and women differently</w:t>
      </w:r>
    </w:p>
    <w:p w:rsidR="008C0FFF" w:rsidRPr="00931AED" w:rsidRDefault="00BB6CB7" w:rsidP="00320CC4">
      <w:pPr>
        <w:pStyle w:val="CRPDStateParty-bullets"/>
        <w:spacing w:line="240" w:lineRule="auto"/>
      </w:pPr>
      <w:r w:rsidRPr="00931AED">
        <w:t xml:space="preserve">a Disability Perspective Statement </w:t>
      </w:r>
      <w:r w:rsidR="00DD69F4">
        <w:t>– this considers</w:t>
      </w:r>
      <w:r w:rsidR="00D247C6" w:rsidRPr="00931AED">
        <w:t xml:space="preserve"> the impact of policies and proposals on disabled people</w:t>
      </w:r>
      <w:r w:rsidRPr="00931AED">
        <w:t>.</w:t>
      </w:r>
      <w:r w:rsidR="00D247C6" w:rsidRPr="00931AED">
        <w:t xml:space="preserve"> </w:t>
      </w:r>
    </w:p>
    <w:p w:rsidR="00E64FBD" w:rsidRPr="00931AED" w:rsidRDefault="00E64FBD" w:rsidP="00320CC4">
      <w:pPr>
        <w:pStyle w:val="CRPD-Questionstyle"/>
        <w:widowControl w:val="0"/>
        <w:spacing w:line="240" w:lineRule="auto"/>
        <w:ind w:firstLine="567"/>
        <w:rPr>
          <w:lang w:val="en-NZ"/>
        </w:rPr>
      </w:pPr>
      <w:bookmarkStart w:id="4" w:name="_Hlk512452467"/>
      <w:bookmarkStart w:id="5" w:name="_Hlk512452496"/>
      <w:r w:rsidRPr="00931AED">
        <w:rPr>
          <w:lang w:val="en-NZ"/>
        </w:rPr>
        <w:t xml:space="preserve">(b) </w:t>
      </w:r>
      <w:r w:rsidRPr="00931AED">
        <w:rPr>
          <w:lang w:val="en-NZ"/>
        </w:rPr>
        <w:tab/>
        <w:t xml:space="preserve">Intersectional and multiple forms of discrimination against women with disabilities in all areas of life; </w:t>
      </w:r>
    </w:p>
    <w:bookmarkEnd w:id="4"/>
    <w:bookmarkEnd w:id="5"/>
    <w:p w:rsidR="003955E1" w:rsidRDefault="000F2F3E" w:rsidP="00320CC4">
      <w:pPr>
        <w:pStyle w:val="CRPD-subsectionheading"/>
        <w:spacing w:line="240" w:lineRule="auto"/>
      </w:pPr>
      <w:r w:rsidRPr="00931AED">
        <w:t xml:space="preserve">187 of the 370 complaints </w:t>
      </w:r>
      <w:r w:rsidR="00BB6CB7" w:rsidRPr="00931AED">
        <w:t>(50.5</w:t>
      </w:r>
      <w:r w:rsidR="00922AFF">
        <w:t>%</w:t>
      </w:r>
      <w:r w:rsidR="00BB6CB7" w:rsidRPr="00931AED">
        <w:t xml:space="preserve">) </w:t>
      </w:r>
      <w:r w:rsidRPr="00931AED">
        <w:t>alleging disability discrimination were received from women</w:t>
      </w:r>
      <w:r w:rsidR="00941F8F" w:rsidRPr="00931AED">
        <w:t xml:space="preserve"> in the year ending 15 June 2018</w:t>
      </w:r>
      <w:r w:rsidRPr="00931AED">
        <w:t>. There were four main themes – women’s health, mother</w:t>
      </w:r>
      <w:r w:rsidR="003955E1">
        <w:t>s and children, actions of the c</w:t>
      </w:r>
      <w:r w:rsidRPr="00931AED">
        <w:t>ourt and matters relating to employment. Specific to women were complaints about</w:t>
      </w:r>
      <w:r w:rsidR="003955E1">
        <w:t>:</w:t>
      </w:r>
    </w:p>
    <w:p w:rsidR="003955E1" w:rsidRDefault="003955E1" w:rsidP="00320CC4">
      <w:pPr>
        <w:pStyle w:val="CRPDStateParty-bullets"/>
        <w:spacing w:line="240" w:lineRule="auto"/>
      </w:pPr>
      <w:r>
        <w:t>In Vitro F</w:t>
      </w:r>
      <w:r w:rsidRPr="003955E1">
        <w:t xml:space="preserve">ertilisation </w:t>
      </w:r>
      <w:r>
        <w:t>(IVF) treatment</w:t>
      </w:r>
    </w:p>
    <w:p w:rsidR="003955E1" w:rsidRDefault="000F2F3E" w:rsidP="00320CC4">
      <w:pPr>
        <w:pStyle w:val="CRPDStateParty-bullets"/>
        <w:spacing w:line="240" w:lineRule="auto"/>
      </w:pPr>
      <w:r w:rsidRPr="00931AED">
        <w:t xml:space="preserve">post-natal depression </w:t>
      </w:r>
    </w:p>
    <w:p w:rsidR="003955E1" w:rsidRDefault="000F2F3E" w:rsidP="00320CC4">
      <w:pPr>
        <w:pStyle w:val="CRPDStateParty-bullets"/>
        <w:spacing w:line="240" w:lineRule="auto"/>
      </w:pPr>
      <w:r w:rsidRPr="00931AED">
        <w:t xml:space="preserve">the effect of mental health on perceptions of ability to care for children </w:t>
      </w:r>
    </w:p>
    <w:p w:rsidR="000F2F3E" w:rsidRPr="00931AED" w:rsidRDefault="000F2F3E" w:rsidP="00320CC4">
      <w:pPr>
        <w:pStyle w:val="CRPDStateParty-bullets"/>
        <w:spacing w:line="240" w:lineRule="auto"/>
      </w:pPr>
      <w:r w:rsidRPr="00931AED">
        <w:t xml:space="preserve">work-related problems because of women’s health issues </w:t>
      </w:r>
      <w:r w:rsidR="00B70EBF">
        <w:t xml:space="preserve">including </w:t>
      </w:r>
      <w:r w:rsidRPr="00931AED">
        <w:t>endometriosis.</w:t>
      </w:r>
    </w:p>
    <w:p w:rsidR="00737B39" w:rsidRPr="00931AED" w:rsidRDefault="009821E2" w:rsidP="00320CC4">
      <w:pPr>
        <w:pStyle w:val="CRPD-subsectionheading"/>
        <w:spacing w:line="240" w:lineRule="auto"/>
      </w:pPr>
      <w:r w:rsidRPr="00931AED">
        <w:lastRenderedPageBreak/>
        <w:t>The</w:t>
      </w:r>
      <w:r w:rsidR="00737B39" w:rsidRPr="00931AED">
        <w:t xml:space="preserve"> </w:t>
      </w:r>
      <w:r w:rsidR="00737B39" w:rsidRPr="00931AED">
        <w:rPr>
          <w:i/>
        </w:rPr>
        <w:t>Disability Survey</w:t>
      </w:r>
      <w:r w:rsidR="00FE7C5F" w:rsidRPr="00931AED">
        <w:rPr>
          <w:i/>
        </w:rPr>
        <w:t>: 2013</w:t>
      </w:r>
      <w:r w:rsidR="00737B39" w:rsidRPr="00931AED">
        <w:t xml:space="preserve"> showed that </w:t>
      </w:r>
      <w:r w:rsidR="0056370E" w:rsidRPr="00931AED">
        <w:t xml:space="preserve">on average </w:t>
      </w:r>
      <w:r w:rsidR="00737B39" w:rsidRPr="00931AED">
        <w:t>disabled women</w:t>
      </w:r>
      <w:r w:rsidR="0056370E" w:rsidRPr="00931AED">
        <w:t xml:space="preserve"> </w:t>
      </w:r>
      <w:r w:rsidR="00737B39" w:rsidRPr="00931AED">
        <w:t>experience poorer economic and social outcomes than non-disabled women</w:t>
      </w:r>
      <w:r w:rsidR="00FB2E98" w:rsidRPr="00931AED">
        <w:rPr>
          <w:rStyle w:val="FootnoteReference"/>
        </w:rPr>
        <w:footnoteReference w:id="51"/>
      </w:r>
      <w:r w:rsidR="00737B39" w:rsidRPr="00931AED">
        <w:t xml:space="preserve">. The next Disability Survey </w:t>
      </w:r>
      <w:r w:rsidR="005F35B8">
        <w:t>is scheduled for</w:t>
      </w:r>
      <w:r w:rsidR="008C0FFF" w:rsidRPr="00931AED">
        <w:t xml:space="preserve"> </w:t>
      </w:r>
      <w:r w:rsidR="00737B39" w:rsidRPr="00931AED">
        <w:t>2023.</w:t>
      </w:r>
      <w:r w:rsidR="00BB6CB7" w:rsidRPr="00931AED">
        <w:t xml:space="preserve"> Disability data </w:t>
      </w:r>
      <w:r w:rsidR="00DF7BC7" w:rsidRPr="00931AED">
        <w:t xml:space="preserve">disaggregated by gender </w:t>
      </w:r>
      <w:r w:rsidR="00BB6CB7" w:rsidRPr="00931AED">
        <w:t>will be available from the 2018 Census.</w:t>
      </w:r>
    </w:p>
    <w:p w:rsidR="00614795" w:rsidRPr="006C38F5" w:rsidRDefault="00BB6CB7" w:rsidP="00320CC4">
      <w:pPr>
        <w:pStyle w:val="CRPD-Questionstyle"/>
        <w:widowControl w:val="0"/>
        <w:spacing w:line="240" w:lineRule="auto"/>
        <w:ind w:firstLine="567"/>
        <w:rPr>
          <w:lang w:val="en-NZ"/>
        </w:rPr>
      </w:pPr>
      <w:r w:rsidRPr="00931AED" w:rsidDel="00BB6CB7">
        <w:t xml:space="preserve"> </w:t>
      </w:r>
      <w:r w:rsidR="00E64FBD" w:rsidRPr="00931AED">
        <w:rPr>
          <w:lang w:val="en-NZ"/>
        </w:rPr>
        <w:t>(c)</w:t>
      </w:r>
      <w:r w:rsidR="00E64FBD" w:rsidRPr="00931AED">
        <w:rPr>
          <w:lang w:val="en-NZ"/>
        </w:rPr>
        <w:tab/>
        <w:t>Measures taken to prevent, recognize and address all forms of gender-based violence against women with disabilities, including in institutions and in-home situations, and with respect to the exercise of their sexual and reproductive health rights. Please indicate the resources allocated and any further steps taken to support women with disabilities who experience or are at risk of violence, including sexual abuse;</w:t>
      </w:r>
    </w:p>
    <w:p w:rsidR="0065285D" w:rsidRPr="00BA5F3C" w:rsidRDefault="00373067" w:rsidP="00320CC4">
      <w:pPr>
        <w:pStyle w:val="CRPD-subsectionheading"/>
        <w:spacing w:line="240" w:lineRule="auto"/>
        <w:rPr>
          <w:iCs/>
        </w:rPr>
      </w:pPr>
      <w:r w:rsidRPr="004D78F6">
        <w:t>Since 201</w:t>
      </w:r>
      <w:r w:rsidR="004D78F6" w:rsidRPr="004D78F6">
        <w:t>4</w:t>
      </w:r>
      <w:r w:rsidRPr="004D78F6">
        <w:t>,</w:t>
      </w:r>
      <w:r>
        <w:t xml:space="preserve"> t</w:t>
      </w:r>
      <w:r w:rsidR="006F237E" w:rsidRPr="00931AED">
        <w:t>he Government</w:t>
      </w:r>
      <w:r w:rsidR="0065285D" w:rsidRPr="00931AED">
        <w:t xml:space="preserve"> has</w:t>
      </w:r>
      <w:r w:rsidR="006F237E" w:rsidRPr="00931AED">
        <w:t xml:space="preserve"> </w:t>
      </w:r>
      <w:r>
        <w:t>had a cross-</w:t>
      </w:r>
      <w:r w:rsidR="0065285D" w:rsidRPr="00931AED">
        <w:t>agency Family and Sexual Violence work programme.</w:t>
      </w:r>
    </w:p>
    <w:p w:rsidR="00BA5F3C" w:rsidRPr="00931AED" w:rsidRDefault="00BA5F3C" w:rsidP="00320CC4">
      <w:pPr>
        <w:pStyle w:val="CRPD-subsectionheading"/>
        <w:spacing w:line="240" w:lineRule="auto"/>
      </w:pPr>
      <w:r>
        <w:t>T</w:t>
      </w:r>
      <w:r w:rsidRPr="00BA5F3C">
        <w:t>he Sexual Vio</w:t>
      </w:r>
      <w:r>
        <w:t>lence Prevention Advisory Board</w:t>
      </w:r>
      <w:r>
        <w:rPr>
          <w:rStyle w:val="FootnoteReference"/>
          <w:iCs/>
        </w:rPr>
        <w:footnoteReference w:id="52"/>
      </w:r>
      <w:r w:rsidRPr="00BA5F3C">
        <w:t xml:space="preserve"> has endorsed research to understand what sexual violence prevention programmes are available for </w:t>
      </w:r>
      <w:r>
        <w:t xml:space="preserve">disabled </w:t>
      </w:r>
      <w:r w:rsidRPr="00BA5F3C">
        <w:t>people, the effectiveness of those programmes, and how they perform against best practice. The research findings will inform and strengthen future design and development of programmes and initiatives.</w:t>
      </w:r>
    </w:p>
    <w:p w:rsidR="0065285D" w:rsidRPr="004D78F6" w:rsidRDefault="0065285D" w:rsidP="00320CC4">
      <w:pPr>
        <w:pStyle w:val="CRPD-subsectionheading"/>
        <w:spacing w:line="240" w:lineRule="auto"/>
      </w:pPr>
      <w:r w:rsidRPr="00931AED">
        <w:t>Government-funded programmes and services for victi</w:t>
      </w:r>
      <w:r w:rsidR="00A84B15" w:rsidRPr="00931AED">
        <w:t>ms and perpetrators of family v</w:t>
      </w:r>
      <w:r w:rsidR="003A486D">
        <w:t>i</w:t>
      </w:r>
      <w:r w:rsidRPr="00931AED">
        <w:t>olence are provided to anyone who needs this support. Support</w:t>
      </w:r>
      <w:r>
        <w:t xml:space="preserve"> </w:t>
      </w:r>
      <w:r w:rsidR="003955E1">
        <w:t>specific</w:t>
      </w:r>
      <w:r>
        <w:t xml:space="preserve"> to disabled women </w:t>
      </w:r>
      <w:r w:rsidRPr="004D78F6">
        <w:t>includes:</w:t>
      </w:r>
    </w:p>
    <w:p w:rsidR="0065285D" w:rsidRPr="00A322B2" w:rsidRDefault="003955E1" w:rsidP="00320CC4">
      <w:pPr>
        <w:pStyle w:val="CRPDStateParty-bullets"/>
        <w:widowControl w:val="0"/>
        <w:spacing w:line="240" w:lineRule="auto"/>
        <w:rPr>
          <w:lang w:val="en-NZ"/>
        </w:rPr>
      </w:pPr>
      <w:r>
        <w:rPr>
          <w:lang w:val="en-NZ"/>
        </w:rPr>
        <w:t xml:space="preserve">the </w:t>
      </w:r>
      <w:r w:rsidR="0065285D" w:rsidRPr="00E54B03">
        <w:rPr>
          <w:lang w:val="en-NZ"/>
        </w:rPr>
        <w:t xml:space="preserve">‘Domestic Violence and Disabled People’ </w:t>
      </w:r>
      <w:r w:rsidR="0065285D">
        <w:rPr>
          <w:lang w:val="en-NZ"/>
        </w:rPr>
        <w:t>booklet</w:t>
      </w:r>
      <w:r w:rsidR="00532D67">
        <w:rPr>
          <w:rStyle w:val="FootnoteReference"/>
          <w:lang w:val="en-NZ"/>
        </w:rPr>
        <w:footnoteReference w:id="53"/>
      </w:r>
    </w:p>
    <w:p w:rsidR="0065285D" w:rsidRPr="00643DEE" w:rsidRDefault="0065285D" w:rsidP="00320CC4">
      <w:pPr>
        <w:pStyle w:val="CRPDStateParty-bullets"/>
        <w:widowControl w:val="0"/>
        <w:spacing w:line="240" w:lineRule="auto"/>
      </w:pPr>
      <w:r>
        <w:t>accessible</w:t>
      </w:r>
      <w:r w:rsidRPr="00E54B03">
        <w:t xml:space="preserve"> option</w:t>
      </w:r>
      <w:r>
        <w:t>s</w:t>
      </w:r>
      <w:r w:rsidR="001E77D7">
        <w:t xml:space="preserve"> for deaf, hearing</w:t>
      </w:r>
      <w:r w:rsidR="001E77D7">
        <w:noBreakHyphen/>
        <w:t>impaired, d</w:t>
      </w:r>
      <w:r w:rsidRPr="00E54B03">
        <w:t>eafblind and speech</w:t>
      </w:r>
      <w:r w:rsidRPr="00E54B03">
        <w:noBreakHyphen/>
        <w:t>impaired phone users</w:t>
      </w:r>
      <w:r>
        <w:t xml:space="preserve"> contacting national </w:t>
      </w:r>
      <w:r w:rsidRPr="00E54B03">
        <w:t>family violence help</w:t>
      </w:r>
      <w:r>
        <w:t xml:space="preserve">/crisis </w:t>
      </w:r>
      <w:r w:rsidRPr="00E54B03">
        <w:t>lines.</w:t>
      </w:r>
    </w:p>
    <w:p w:rsidR="00F534EB" w:rsidRPr="009418AF" w:rsidRDefault="00F534EB" w:rsidP="00320CC4">
      <w:pPr>
        <w:pStyle w:val="CRPD-subsectionheading"/>
        <w:spacing w:line="240" w:lineRule="auto"/>
      </w:pPr>
      <w:r w:rsidRPr="00F534EB">
        <w:t>There are no specific health initiatives to address ge</w:t>
      </w:r>
      <w:r>
        <w:t>nder-</w:t>
      </w:r>
      <w:r w:rsidRPr="00F534EB">
        <w:t>based violence against disabled wom</w:t>
      </w:r>
      <w:r>
        <w:t xml:space="preserve">en, including in institutions. </w:t>
      </w:r>
      <w:r w:rsidRPr="00F534EB">
        <w:t xml:space="preserve">The </w:t>
      </w:r>
      <w:r w:rsidR="003955E1">
        <w:t>‘</w:t>
      </w:r>
      <w:r w:rsidRPr="00F534EB">
        <w:t xml:space="preserve">Joint Venture for Family Violence and Sexual </w:t>
      </w:r>
      <w:r w:rsidRPr="009418AF">
        <w:t>Violence</w:t>
      </w:r>
      <w:r w:rsidR="003955E1">
        <w:t>’</w:t>
      </w:r>
      <w:r w:rsidRPr="009418AF">
        <w:t xml:space="preserve"> will soon </w:t>
      </w:r>
      <w:r w:rsidR="003955E1">
        <w:t>develop</w:t>
      </w:r>
      <w:r w:rsidRPr="009418AF">
        <w:t xml:space="preserve"> a national strategy that will consider the situation of disabled people, including in home-care. </w:t>
      </w:r>
    </w:p>
    <w:p w:rsidR="00373067" w:rsidRPr="009418AF" w:rsidRDefault="009418AF" w:rsidP="00320CC4">
      <w:pPr>
        <w:pStyle w:val="CRPD-subsectionheading"/>
        <w:spacing w:line="240" w:lineRule="auto"/>
      </w:pPr>
      <w:bookmarkStart w:id="6" w:name="_Hlk512452830"/>
      <w:r w:rsidRPr="009418AF">
        <w:lastRenderedPageBreak/>
        <w:t xml:space="preserve">All New Zealanders have access to universal sexual and reproductive health services. Specialist services are available for disabled people who require additional support because of their disability. The Government is developing a </w:t>
      </w:r>
      <w:r w:rsidRPr="00373067">
        <w:rPr>
          <w:i/>
        </w:rPr>
        <w:t>Sexual and Reproductive Health Action Plan 2018-2027</w:t>
      </w:r>
      <w:r w:rsidR="00373067">
        <w:t xml:space="preserve">. Disabled people, including </w:t>
      </w:r>
      <w:r w:rsidR="00373067" w:rsidRPr="009418AF">
        <w:t>disabled women</w:t>
      </w:r>
      <w:r w:rsidR="00373067">
        <w:t>, are recognised as a vulnerable population under</w:t>
      </w:r>
      <w:r w:rsidR="00373067" w:rsidRPr="009418AF">
        <w:t xml:space="preserve"> the plan</w:t>
      </w:r>
      <w:r w:rsidR="00373067">
        <w:t xml:space="preserve"> and specific actions to increase the prevalence of sexuality education to this population has been included. This will be done through</w:t>
      </w:r>
      <w:r w:rsidR="00373067" w:rsidRPr="00373067">
        <w:t xml:space="preserve"> </w:t>
      </w:r>
      <w:r w:rsidR="00373067" w:rsidRPr="00373067">
        <w:rPr>
          <w:rFonts w:cs="Verdana"/>
          <w:color w:val="000000"/>
          <w:lang w:eastAsia="en-GB"/>
        </w:rPr>
        <w:t>providers and disabled people.</w:t>
      </w:r>
    </w:p>
    <w:p w:rsidR="00E64FBD" w:rsidRPr="00237D85" w:rsidRDefault="009418AF" w:rsidP="00320CC4">
      <w:pPr>
        <w:pStyle w:val="CRPD-Questionstyle"/>
        <w:widowControl w:val="0"/>
        <w:spacing w:line="240" w:lineRule="auto"/>
        <w:ind w:firstLine="567"/>
        <w:rPr>
          <w:lang w:val="en-NZ"/>
        </w:rPr>
      </w:pPr>
      <w:r w:rsidRPr="00237D85">
        <w:rPr>
          <w:lang w:val="en-NZ"/>
        </w:rPr>
        <w:t xml:space="preserve"> </w:t>
      </w:r>
      <w:r w:rsidR="00E64FBD" w:rsidRPr="00237D85">
        <w:rPr>
          <w:lang w:val="en-NZ"/>
        </w:rPr>
        <w:t>(d)</w:t>
      </w:r>
      <w:r w:rsidR="00E64FBD" w:rsidRPr="00237D85">
        <w:rPr>
          <w:lang w:val="en-NZ"/>
        </w:rPr>
        <w:tab/>
        <w:t xml:space="preserve">Strategies to ensure that women with disabilities participate in decision-making bodies and have access to education, health, employment and social protection measures. </w:t>
      </w:r>
      <w:r w:rsidR="003955E1">
        <w:rPr>
          <w:lang w:val="en-NZ"/>
        </w:rPr>
        <w:t>I</w:t>
      </w:r>
      <w:r w:rsidR="00E64FBD" w:rsidRPr="00237D85">
        <w:rPr>
          <w:lang w:val="en-NZ"/>
        </w:rPr>
        <w:t>ndicate how many representative organizations of women and girls with disabilities, including Māori and Pacific women with disabilities, are involved in these programmes.</w:t>
      </w:r>
    </w:p>
    <w:bookmarkEnd w:id="6"/>
    <w:p w:rsidR="003955E1" w:rsidRDefault="003955E1" w:rsidP="00320CC4">
      <w:pPr>
        <w:pStyle w:val="CRPD-subsectionheading"/>
        <w:spacing w:line="240" w:lineRule="auto"/>
      </w:pPr>
      <w:r>
        <w:t xml:space="preserve">The </w:t>
      </w:r>
      <w:r w:rsidRPr="003955E1">
        <w:rPr>
          <w:i/>
        </w:rPr>
        <w:t xml:space="preserve">Disability Strategy </w:t>
      </w:r>
      <w:r>
        <w:t>states that disabled people should be involved in decision-making that impact</w:t>
      </w:r>
      <w:r w:rsidR="008C2604">
        <w:t>s</w:t>
      </w:r>
      <w:r>
        <w:t xml:space="preserve"> them. </w:t>
      </w:r>
    </w:p>
    <w:p w:rsidR="00CB1C87" w:rsidRDefault="00CB1C87" w:rsidP="00320CC4">
      <w:pPr>
        <w:pStyle w:val="CRPD-subsectionheading"/>
        <w:spacing w:line="240" w:lineRule="auto"/>
      </w:pPr>
      <w:r>
        <w:t>In 2018, the Government committed to all state sector boards being evenly represented by men and women by 2021</w:t>
      </w:r>
      <w:r>
        <w:rPr>
          <w:rStyle w:val="FootnoteReference"/>
        </w:rPr>
        <w:footnoteReference w:id="54"/>
      </w:r>
      <w:r>
        <w:t>. There is no specific policy for disabled women to be represented on these boards.</w:t>
      </w:r>
    </w:p>
    <w:p w:rsidR="00803D65" w:rsidRDefault="00803D65" w:rsidP="00320CC4">
      <w:pPr>
        <w:pStyle w:val="CRPD-subsectionheading"/>
        <w:spacing w:line="240" w:lineRule="auto"/>
      </w:pPr>
      <w:r w:rsidRPr="00237D85">
        <w:t>There are no specific representative organi</w:t>
      </w:r>
      <w:r>
        <w:t>s</w:t>
      </w:r>
      <w:r w:rsidRPr="00237D85">
        <w:t xml:space="preserve">ations of </w:t>
      </w:r>
      <w:r>
        <w:t xml:space="preserve">disabled </w:t>
      </w:r>
      <w:r w:rsidRPr="00237D85">
        <w:t xml:space="preserve">women and girls in </w:t>
      </w:r>
      <w:r>
        <w:t>NZ</w:t>
      </w:r>
      <w:r w:rsidRPr="00237D85">
        <w:t xml:space="preserve">. </w:t>
      </w:r>
    </w:p>
    <w:p w:rsidR="002801F0" w:rsidRDefault="002801F0" w:rsidP="00320CC4">
      <w:pPr>
        <w:pStyle w:val="CRPD-subsectionheading"/>
        <w:spacing w:line="240" w:lineRule="auto"/>
      </w:pPr>
      <w:r>
        <w:t xml:space="preserve">Disabled women have been involved in decision-making on disability issues. Examples include: </w:t>
      </w:r>
    </w:p>
    <w:p w:rsidR="002801F0" w:rsidRDefault="002801F0" w:rsidP="00320CC4">
      <w:pPr>
        <w:pStyle w:val="CRPDStateParty-bullets"/>
        <w:widowControl w:val="0"/>
        <w:spacing w:line="240" w:lineRule="auto"/>
      </w:pPr>
      <w:r w:rsidRPr="00237D85">
        <w:t>two disabled women</w:t>
      </w:r>
      <w:r>
        <w:t xml:space="preserve"> (17</w:t>
      </w:r>
      <w:r w:rsidR="00922AFF">
        <w:t>%</w:t>
      </w:r>
      <w:r>
        <w:t>)</w:t>
      </w:r>
      <w:r w:rsidRPr="00237D85">
        <w:t xml:space="preserve"> appointed to the </w:t>
      </w:r>
      <w:r w:rsidR="002D21E1" w:rsidRPr="003955E1">
        <w:rPr>
          <w:i/>
        </w:rPr>
        <w:t>NZ</w:t>
      </w:r>
      <w:r w:rsidRPr="003955E1">
        <w:rPr>
          <w:i/>
        </w:rPr>
        <w:t xml:space="preserve"> Disability Strategy Revision Reference Group</w:t>
      </w:r>
      <w:r w:rsidR="00532D67">
        <w:rPr>
          <w:rStyle w:val="FootnoteReference"/>
          <w:i/>
        </w:rPr>
        <w:footnoteReference w:id="55"/>
      </w:r>
      <w:r w:rsidRPr="00237D85">
        <w:t xml:space="preserve"> </w:t>
      </w:r>
    </w:p>
    <w:p w:rsidR="002801F0" w:rsidRPr="009418AF" w:rsidRDefault="00020800" w:rsidP="00320CC4">
      <w:pPr>
        <w:pStyle w:val="CRPDStateParty-bullets"/>
        <w:widowControl w:val="0"/>
        <w:spacing w:line="240" w:lineRule="auto"/>
      </w:pPr>
      <w:r>
        <w:t>two</w:t>
      </w:r>
      <w:r w:rsidR="002801F0">
        <w:t xml:space="preserve"> Deaf women </w:t>
      </w:r>
      <w:r>
        <w:t>(2</w:t>
      </w:r>
      <w:r w:rsidR="00922AFF">
        <w:t>0%</w:t>
      </w:r>
      <w:r w:rsidR="002801F0">
        <w:t>) on</w:t>
      </w:r>
      <w:r w:rsidR="002801F0" w:rsidRPr="00237D85">
        <w:t xml:space="preserve"> the </w:t>
      </w:r>
      <w:r w:rsidR="002D21E1">
        <w:rPr>
          <w:i/>
        </w:rPr>
        <w:t>NZSL</w:t>
      </w:r>
      <w:r w:rsidR="002801F0" w:rsidRPr="0085494F">
        <w:rPr>
          <w:i/>
        </w:rPr>
        <w:t xml:space="preserve"> Board</w:t>
      </w:r>
      <w:r w:rsidRPr="005A5C46">
        <w:rPr>
          <w:rStyle w:val="FootnoteReference"/>
        </w:rPr>
        <w:footnoteReference w:id="56"/>
      </w:r>
    </w:p>
    <w:p w:rsidR="009418AF" w:rsidRPr="009418AF" w:rsidRDefault="009418AF" w:rsidP="00320CC4">
      <w:pPr>
        <w:pStyle w:val="CRPDStateParty-bullets"/>
        <w:widowControl w:val="0"/>
        <w:spacing w:line="240" w:lineRule="auto"/>
      </w:pPr>
      <w:r w:rsidRPr="009418AF">
        <w:rPr>
          <w:lang w:val="en-NZ"/>
        </w:rPr>
        <w:t xml:space="preserve">half of </w:t>
      </w:r>
      <w:r w:rsidR="003955E1">
        <w:rPr>
          <w:lang w:val="en-NZ"/>
        </w:rPr>
        <w:t xml:space="preserve">the </w:t>
      </w:r>
      <w:r w:rsidRPr="009418AF">
        <w:rPr>
          <w:lang w:val="en-NZ"/>
        </w:rPr>
        <w:t xml:space="preserve">Ministry of Health’s </w:t>
      </w:r>
      <w:r w:rsidR="00D12F91" w:rsidRPr="00B45D1A">
        <w:rPr>
          <w:i/>
        </w:rPr>
        <w:t xml:space="preserve">Whāia </w:t>
      </w:r>
      <w:r w:rsidRPr="003955E1">
        <w:rPr>
          <w:i/>
          <w:lang w:val="en-NZ"/>
        </w:rPr>
        <w:t>Te Ao Mārama</w:t>
      </w:r>
      <w:r w:rsidR="003955E1" w:rsidRPr="003955E1">
        <w:rPr>
          <w:rStyle w:val="FootnoteReference"/>
          <w:lang w:val="en-NZ"/>
        </w:rPr>
        <w:footnoteReference w:id="57"/>
      </w:r>
      <w:r w:rsidRPr="003955E1">
        <w:rPr>
          <w:i/>
          <w:lang w:val="en-NZ"/>
        </w:rPr>
        <w:t>: The Māori Disability</w:t>
      </w:r>
      <w:r w:rsidR="00DD69F4" w:rsidRPr="003955E1">
        <w:rPr>
          <w:i/>
          <w:lang w:val="en-NZ"/>
        </w:rPr>
        <w:t xml:space="preserve"> Advisory Group </w:t>
      </w:r>
      <w:r w:rsidR="00DD69F4">
        <w:rPr>
          <w:lang w:val="en-NZ"/>
        </w:rPr>
        <w:t>are Māori women</w:t>
      </w:r>
    </w:p>
    <w:p w:rsidR="009418AF" w:rsidRPr="009418AF" w:rsidRDefault="009418AF" w:rsidP="00320CC4">
      <w:pPr>
        <w:pStyle w:val="CRPDStateParty-bullets"/>
        <w:widowControl w:val="0"/>
        <w:spacing w:line="240" w:lineRule="auto"/>
      </w:pPr>
      <w:r w:rsidRPr="009418AF">
        <w:t>disabled women, including those who identify as Māori and Pa</w:t>
      </w:r>
      <w:r w:rsidR="00887878">
        <w:t>cific Peoples</w:t>
      </w:r>
      <w:r w:rsidRPr="009418AF">
        <w:t xml:space="preserve">, have been involved in designing, leading, governing and decision-making groups during </w:t>
      </w:r>
      <w:r w:rsidRPr="009418AF">
        <w:lastRenderedPageBreak/>
        <w:t>the co-design of</w:t>
      </w:r>
      <w:r w:rsidR="00887878">
        <w:t xml:space="preserve"> </w:t>
      </w:r>
      <w:r w:rsidRPr="009418AF">
        <w:t>the disability</w:t>
      </w:r>
      <w:r w:rsidR="00A84B15">
        <w:t xml:space="preserve"> support system transformation</w:t>
      </w:r>
      <w:r w:rsidR="00803D65">
        <w:t xml:space="preserve"> prototype</w:t>
      </w:r>
      <w:r w:rsidR="00532D67" w:rsidRPr="009418AF">
        <w:rPr>
          <w:rStyle w:val="FootnoteReference"/>
        </w:rPr>
        <w:footnoteReference w:id="58"/>
      </w:r>
      <w:r w:rsidR="00A84B15">
        <w:t xml:space="preserve">. </w:t>
      </w:r>
      <w:r w:rsidR="00887878">
        <w:t xml:space="preserve">10% of this </w:t>
      </w:r>
      <w:r w:rsidRPr="009418AF">
        <w:t>Gove</w:t>
      </w:r>
      <w:r w:rsidR="00887878">
        <w:t>rnance Group are disabled women</w:t>
      </w:r>
      <w:r w:rsidRPr="009418AF">
        <w:t xml:space="preserve"> </w:t>
      </w:r>
      <w:r w:rsidR="00887878">
        <w:t>(</w:t>
      </w:r>
      <w:r w:rsidRPr="009418AF">
        <w:t xml:space="preserve">33% </w:t>
      </w:r>
      <w:r w:rsidR="00887878">
        <w:t>of this group have a disability</w:t>
      </w:r>
      <w:r w:rsidRPr="009418AF">
        <w:rPr>
          <w:rStyle w:val="FootnoteReference"/>
        </w:rPr>
        <w:footnoteReference w:id="59"/>
      </w:r>
      <w:r w:rsidR="00887878">
        <w:t>)</w:t>
      </w:r>
    </w:p>
    <w:p w:rsidR="005F0A4A" w:rsidRDefault="009418AF" w:rsidP="00320CC4">
      <w:pPr>
        <w:pStyle w:val="CRPDStateParty-bullets"/>
        <w:widowControl w:val="0"/>
        <w:spacing w:line="240" w:lineRule="auto"/>
      </w:pPr>
      <w:r w:rsidRPr="009418AF">
        <w:t xml:space="preserve">the chair of the </w:t>
      </w:r>
      <w:r w:rsidR="00DD69F4" w:rsidRPr="00DD69F4">
        <w:rPr>
          <w:i/>
        </w:rPr>
        <w:t>Faiva Ora Leadership Group</w:t>
      </w:r>
      <w:r w:rsidR="00887878" w:rsidRPr="00887878">
        <w:rPr>
          <w:rStyle w:val="FootnoteReference"/>
        </w:rPr>
        <w:footnoteReference w:id="60"/>
      </w:r>
      <w:r w:rsidR="00DD69F4">
        <w:rPr>
          <w:i/>
        </w:rPr>
        <w:t>,</w:t>
      </w:r>
      <w:r w:rsidRPr="009418AF">
        <w:t xml:space="preserve"> </w:t>
      </w:r>
      <w:r w:rsidR="00DD69F4">
        <w:t>who</w:t>
      </w:r>
      <w:r w:rsidRPr="009418AF">
        <w:t xml:space="preserve"> advises on Pacifi</w:t>
      </w:r>
      <w:r w:rsidR="004F4C51">
        <w:t>c disability issues, is a woman</w:t>
      </w:r>
    </w:p>
    <w:p w:rsidR="004F4C51" w:rsidRPr="009418AF" w:rsidRDefault="00532D67" w:rsidP="00320CC4">
      <w:pPr>
        <w:pStyle w:val="CRPDStateParty-bullets"/>
        <w:widowControl w:val="0"/>
        <w:spacing w:line="240" w:lineRule="auto"/>
      </w:pPr>
      <w:r>
        <w:t xml:space="preserve">one </w:t>
      </w:r>
      <w:r w:rsidR="00EE3301" w:rsidRPr="00EE3301">
        <w:rPr>
          <w:lang w:val="en-NZ"/>
        </w:rPr>
        <w:t xml:space="preserve">Māori </w:t>
      </w:r>
      <w:r>
        <w:t>disabled woman</w:t>
      </w:r>
      <w:r w:rsidR="00EE3301">
        <w:t xml:space="preserve"> sits on </w:t>
      </w:r>
      <w:r w:rsidR="004F4C51">
        <w:t>the Welfare Expert Advisory Group</w:t>
      </w:r>
      <w:r>
        <w:rPr>
          <w:rStyle w:val="FootnoteReference"/>
        </w:rPr>
        <w:footnoteReference w:id="61"/>
      </w:r>
      <w:r w:rsidR="00EE3301">
        <w:t xml:space="preserve"> and also on the </w:t>
      </w:r>
      <w:r w:rsidR="004F4C51">
        <w:t xml:space="preserve">Housing NZ Corporation </w:t>
      </w:r>
      <w:r w:rsidR="00EE3301">
        <w:t>Board</w:t>
      </w:r>
      <w:r w:rsidR="00EE3301">
        <w:rPr>
          <w:rStyle w:val="FootnoteReference"/>
        </w:rPr>
        <w:footnoteReference w:id="62"/>
      </w:r>
      <w:r w:rsidR="004F4C51">
        <w:t>.</w:t>
      </w:r>
    </w:p>
    <w:p w:rsidR="009972EE" w:rsidRPr="00237D85" w:rsidRDefault="009972EE" w:rsidP="00320CC4">
      <w:pPr>
        <w:pStyle w:val="CRPD-subsectionheading"/>
        <w:spacing w:line="240" w:lineRule="auto"/>
      </w:pPr>
      <w:r w:rsidRPr="00237D85">
        <w:t>The Government has no strategies specific to employment assistance</w:t>
      </w:r>
      <w:r w:rsidR="00A2568B" w:rsidRPr="00237D85">
        <w:t xml:space="preserve"> for disabled women</w:t>
      </w:r>
      <w:r w:rsidRPr="00237D85">
        <w:t>.</w:t>
      </w:r>
      <w:r w:rsidR="00A2568B" w:rsidRPr="00237D85">
        <w:t xml:space="preserve"> </w:t>
      </w:r>
      <w:r w:rsidR="00961D19" w:rsidRPr="00237D85">
        <w:t>Disabled</w:t>
      </w:r>
      <w:r w:rsidR="00961D19">
        <w:t xml:space="preserve"> women </w:t>
      </w:r>
      <w:r w:rsidR="00961D19" w:rsidRPr="00237D85">
        <w:t>have access to a range of employment services and</w:t>
      </w:r>
      <w:r w:rsidR="00961D19">
        <w:t xml:space="preserve"> </w:t>
      </w:r>
      <w:r w:rsidR="00961D19" w:rsidRPr="00237D85">
        <w:t>services specifically for disabled people to assist them to get</w:t>
      </w:r>
      <w:r w:rsidR="00803D65">
        <w:t>,</w:t>
      </w:r>
      <w:r w:rsidR="00961D19" w:rsidRPr="00237D85">
        <w:t xml:space="preserve"> and stay in</w:t>
      </w:r>
      <w:r w:rsidR="00803D65">
        <w:t>,</w:t>
      </w:r>
      <w:r w:rsidR="00961D19" w:rsidRPr="00237D85">
        <w:t xml:space="preserve"> employment</w:t>
      </w:r>
      <w:r w:rsidR="00961D19">
        <w:t>. Care is taken to ensure that disabled women are con</w:t>
      </w:r>
      <w:r w:rsidR="00803D65">
        <w:t>sulted on changes to disability-</w:t>
      </w:r>
      <w:r w:rsidR="00961D19">
        <w:t>specific services</w:t>
      </w:r>
      <w:r w:rsidR="005A5C46">
        <w:t>.</w:t>
      </w:r>
    </w:p>
    <w:p w:rsidR="002F6B9A" w:rsidRDefault="002F6B9A" w:rsidP="00320CC4">
      <w:pPr>
        <w:pStyle w:val="CRPD-Questionstyle"/>
        <w:widowControl w:val="0"/>
        <w:spacing w:line="240" w:lineRule="auto"/>
        <w:rPr>
          <w:rFonts w:ascii="Times New Roman" w:hAnsi="Times New Roman"/>
          <w:szCs w:val="24"/>
        </w:rPr>
      </w:pPr>
    </w:p>
    <w:p w:rsidR="00E64FBD" w:rsidRPr="00EE3301" w:rsidRDefault="0078082B" w:rsidP="00320CC4">
      <w:pPr>
        <w:pStyle w:val="CRPD-Questionstyle"/>
        <w:widowControl w:val="0"/>
        <w:spacing w:line="240" w:lineRule="auto"/>
        <w:rPr>
          <w:rFonts w:ascii="Times New Roman" w:hAnsi="Times New Roman"/>
          <w:sz w:val="28"/>
          <w:szCs w:val="24"/>
        </w:rPr>
      </w:pPr>
      <w:r w:rsidRPr="00EE3301">
        <w:rPr>
          <w:rFonts w:ascii="Times New Roman" w:hAnsi="Times New Roman"/>
          <w:sz w:val="28"/>
          <w:szCs w:val="24"/>
        </w:rPr>
        <w:t>Disabled children</w:t>
      </w:r>
      <w:r w:rsidR="00E64FBD" w:rsidRPr="00EE3301">
        <w:rPr>
          <w:rFonts w:ascii="Times New Roman" w:hAnsi="Times New Roman"/>
          <w:sz w:val="28"/>
          <w:szCs w:val="24"/>
        </w:rPr>
        <w:t xml:space="preserve"> (art. 7)</w:t>
      </w:r>
    </w:p>
    <w:p w:rsidR="00E64FBD" w:rsidRPr="00237D85" w:rsidRDefault="00E64FBD" w:rsidP="00320CC4">
      <w:pPr>
        <w:pStyle w:val="CRPD-Questionstyle"/>
        <w:widowControl w:val="0"/>
        <w:spacing w:line="240" w:lineRule="auto"/>
        <w:rPr>
          <w:lang w:val="en-NZ"/>
        </w:rPr>
      </w:pPr>
      <w:r w:rsidRPr="00237D85">
        <w:rPr>
          <w:lang w:val="en-NZ"/>
        </w:rPr>
        <w:t>7.</w:t>
      </w:r>
      <w:r w:rsidRPr="00237D85">
        <w:rPr>
          <w:lang w:val="en-NZ"/>
        </w:rPr>
        <w:tab/>
      </w:r>
    </w:p>
    <w:p w:rsidR="00E64FBD" w:rsidRPr="00237D85" w:rsidRDefault="00E64FBD" w:rsidP="00320CC4">
      <w:pPr>
        <w:pStyle w:val="CRPD-Questionstyle"/>
        <w:widowControl w:val="0"/>
        <w:spacing w:line="240" w:lineRule="auto"/>
        <w:ind w:firstLine="567"/>
        <w:rPr>
          <w:lang w:val="en-NZ"/>
        </w:rPr>
      </w:pPr>
      <w:r w:rsidRPr="00237D85">
        <w:rPr>
          <w:lang w:val="en-NZ"/>
        </w:rPr>
        <w:t>(a)</w:t>
      </w:r>
      <w:r w:rsidRPr="00237D85">
        <w:rPr>
          <w:lang w:val="en-NZ"/>
        </w:rPr>
        <w:tab/>
        <w:t xml:space="preserve">Measures taken to ensure that the opinions, voices and views of all </w:t>
      </w:r>
      <w:r w:rsidR="0078082B" w:rsidRPr="00237D85">
        <w:rPr>
          <w:lang w:val="en-NZ"/>
        </w:rPr>
        <w:t>disabled children</w:t>
      </w:r>
      <w:r w:rsidRPr="00237D85">
        <w:rPr>
          <w:lang w:val="en-NZ"/>
        </w:rPr>
        <w:t xml:space="preserve"> are given due weight in accordance with their age and maturity, on the decision-making processes that affect them;</w:t>
      </w:r>
    </w:p>
    <w:p w:rsidR="00453BF5" w:rsidRPr="00237D85" w:rsidRDefault="002D21E1" w:rsidP="00320CC4">
      <w:pPr>
        <w:pStyle w:val="CRPD-subsectionheading"/>
        <w:spacing w:line="240" w:lineRule="auto"/>
      </w:pPr>
      <w:r>
        <w:t>NZ</w:t>
      </w:r>
      <w:r w:rsidR="00B30395" w:rsidRPr="00237D85">
        <w:t xml:space="preserve"> law provides for the views of children to be given due weight in decisions that affect them according to their age and maturity. The same age and maturity test is applied equally to disabled and non-disabled children.</w:t>
      </w:r>
      <w:r w:rsidR="00E55D77">
        <w:t xml:space="preserve"> </w:t>
      </w:r>
    </w:p>
    <w:p w:rsidR="00B30395" w:rsidRPr="00237D85" w:rsidRDefault="00453BF5" w:rsidP="00320CC4">
      <w:pPr>
        <w:pStyle w:val="CRPD-subsectionheading"/>
        <w:spacing w:line="240" w:lineRule="auto"/>
      </w:pPr>
      <w:r>
        <w:lastRenderedPageBreak/>
        <w:t>For example,</w:t>
      </w:r>
      <w:r w:rsidR="007769D0">
        <w:t xml:space="preserve"> t</w:t>
      </w:r>
      <w:r w:rsidR="007769D0" w:rsidRPr="00237D85">
        <w:t xml:space="preserve">he rights of </w:t>
      </w:r>
      <w:r w:rsidR="00887878">
        <w:t xml:space="preserve">vulnerable </w:t>
      </w:r>
      <w:r w:rsidR="007769D0" w:rsidRPr="00237D85">
        <w:t xml:space="preserve">disabled children to have their views considered in decisions affecting them </w:t>
      </w:r>
      <w:r w:rsidR="00887878">
        <w:t>is in</w:t>
      </w:r>
      <w:r w:rsidR="007769D0" w:rsidRPr="00237D85">
        <w:t xml:space="preserve"> the </w:t>
      </w:r>
      <w:r w:rsidR="007769D0" w:rsidRPr="007769D0">
        <w:rPr>
          <w:i/>
        </w:rPr>
        <w:t>Oranga Tamariki Act 1989</w:t>
      </w:r>
      <w:r w:rsidR="00584385" w:rsidRPr="00887878">
        <w:rPr>
          <w:rStyle w:val="FootnoteReference"/>
        </w:rPr>
        <w:footnoteReference w:id="63"/>
      </w:r>
      <w:r w:rsidR="007769D0" w:rsidRPr="00237D85">
        <w:t>.</w:t>
      </w:r>
      <w:r w:rsidR="00584385">
        <w:t xml:space="preserve"> This </w:t>
      </w:r>
      <w:r w:rsidR="009D2F2E">
        <w:t>provides</w:t>
      </w:r>
      <w:r w:rsidR="00584385">
        <w:t xml:space="preserve"> that disabled children must be</w:t>
      </w:r>
      <w:r w:rsidR="007769D0" w:rsidRPr="00237D85">
        <w:t xml:space="preserve"> </w:t>
      </w:r>
      <w:r w:rsidR="00584385" w:rsidRPr="00584385">
        <w:t>provided with support</w:t>
      </w:r>
      <w:r w:rsidR="00584385">
        <w:t xml:space="preserve">, </w:t>
      </w:r>
      <w:r w:rsidR="00B70EBF">
        <w:t xml:space="preserve">including </w:t>
      </w:r>
      <w:r w:rsidR="00584385">
        <w:t>a support person or a specialist service provider</w:t>
      </w:r>
      <w:r w:rsidR="00887878" w:rsidRPr="00887878">
        <w:t xml:space="preserve"> </w:t>
      </w:r>
      <w:r w:rsidR="00887878" w:rsidRPr="00584385">
        <w:t xml:space="preserve">if </w:t>
      </w:r>
      <w:r w:rsidR="00887878">
        <w:t>necessary</w:t>
      </w:r>
      <w:r w:rsidR="00584385">
        <w:t>,</w:t>
      </w:r>
      <w:r w:rsidR="00584385" w:rsidRPr="00584385">
        <w:t xml:space="preserve"> to assist them </w:t>
      </w:r>
      <w:r w:rsidR="00887878">
        <w:t>to</w:t>
      </w:r>
      <w:r w:rsidR="00584385" w:rsidRPr="00584385">
        <w:t xml:space="preserve"> express</w:t>
      </w:r>
      <w:r w:rsidR="00887878">
        <w:t xml:space="preserve"> their views and be</w:t>
      </w:r>
      <w:r w:rsidR="00584385" w:rsidRPr="00584385">
        <w:t xml:space="preserve"> understood</w:t>
      </w:r>
      <w:r w:rsidR="00584385">
        <w:t>.</w:t>
      </w:r>
    </w:p>
    <w:p w:rsidR="009D2F2E" w:rsidRDefault="00B10254" w:rsidP="00320CC4">
      <w:pPr>
        <w:pStyle w:val="CRPD-subsectionheading"/>
        <w:spacing w:line="240" w:lineRule="auto"/>
      </w:pPr>
      <w:r w:rsidRPr="00B10254">
        <w:t>In</w:t>
      </w:r>
      <w:r>
        <w:t xml:space="preserve"> 2018, t</w:t>
      </w:r>
      <w:r w:rsidRPr="00857C94">
        <w:t xml:space="preserve">he Government </w:t>
      </w:r>
      <w:r w:rsidR="009D2F2E">
        <w:t xml:space="preserve">engaged with disabled children and young people </w:t>
      </w:r>
      <w:r w:rsidR="006B6F9C">
        <w:t>on</w:t>
      </w:r>
      <w:r w:rsidR="009D2F2E">
        <w:t>:</w:t>
      </w:r>
    </w:p>
    <w:p w:rsidR="00B10254" w:rsidRDefault="00B10254" w:rsidP="00320CC4">
      <w:pPr>
        <w:pStyle w:val="CRPDStateParty-bullets"/>
        <w:spacing w:line="240" w:lineRule="auto"/>
      </w:pPr>
      <w:r>
        <w:t>the Education Conversation</w:t>
      </w:r>
      <w:r w:rsidRPr="00857C94">
        <w:t xml:space="preserve"> Kōrero Mātauranga</w:t>
      </w:r>
      <w:r>
        <w:rPr>
          <w:rStyle w:val="FootnoteReference"/>
        </w:rPr>
        <w:footnoteReference w:id="64"/>
      </w:r>
      <w:r w:rsidRPr="00857C94">
        <w:t xml:space="preserve"> to hear </w:t>
      </w:r>
      <w:r>
        <w:t xml:space="preserve">how to build the world’s best education system. </w:t>
      </w:r>
      <w:r w:rsidR="00887878">
        <w:t xml:space="preserve">The Government </w:t>
      </w:r>
      <w:r w:rsidR="00AE7744">
        <w:t xml:space="preserve">took care to </w:t>
      </w:r>
      <w:r>
        <w:t xml:space="preserve">ensure that </w:t>
      </w:r>
      <w:r w:rsidR="009D2F2E">
        <w:t xml:space="preserve">disabled </w:t>
      </w:r>
      <w:r>
        <w:t xml:space="preserve">children and young people </w:t>
      </w:r>
      <w:r w:rsidR="00887878">
        <w:t>were</w:t>
      </w:r>
      <w:r>
        <w:t xml:space="preserve"> able to participate and that </w:t>
      </w:r>
      <w:r w:rsidR="00887878">
        <w:t>the</w:t>
      </w:r>
      <w:r>
        <w:t xml:space="preserve"> process </w:t>
      </w:r>
      <w:r w:rsidR="00887878">
        <w:t>was</w:t>
      </w:r>
      <w:r w:rsidR="00F658E9">
        <w:t xml:space="preserve"> accessible for all</w:t>
      </w:r>
    </w:p>
    <w:p w:rsidR="009D2F2E" w:rsidRDefault="009D2F2E" w:rsidP="00320CC4">
      <w:pPr>
        <w:pStyle w:val="CRPDStateParty-bullets"/>
        <w:spacing w:line="240" w:lineRule="auto"/>
      </w:pPr>
      <w:r>
        <w:t>the</w:t>
      </w:r>
      <w:r w:rsidRPr="009D2F2E">
        <w:t xml:space="preserve"> Child and Youth Wellbeing Strategy</w:t>
      </w:r>
      <w:r>
        <w:t xml:space="preserve"> (see question 26(b))</w:t>
      </w:r>
      <w:r w:rsidRPr="009D2F2E">
        <w:t>.</w:t>
      </w:r>
    </w:p>
    <w:p w:rsidR="00E64FBD" w:rsidRPr="00237D85" w:rsidRDefault="00B10254" w:rsidP="00320CC4">
      <w:pPr>
        <w:pStyle w:val="CRPD-Questionstyle"/>
        <w:widowControl w:val="0"/>
        <w:spacing w:line="240" w:lineRule="auto"/>
        <w:ind w:firstLine="567"/>
        <w:rPr>
          <w:lang w:val="en-NZ"/>
        </w:rPr>
      </w:pPr>
      <w:r w:rsidDel="00B10254">
        <w:t xml:space="preserve"> </w:t>
      </w:r>
      <w:bookmarkStart w:id="7" w:name="_Hlk512454331"/>
      <w:r w:rsidR="00E64FBD" w:rsidRPr="00237D85">
        <w:rPr>
          <w:lang w:val="en-NZ"/>
        </w:rPr>
        <w:t>(b)</w:t>
      </w:r>
      <w:r w:rsidR="00E64FBD" w:rsidRPr="00237D85">
        <w:rPr>
          <w:lang w:val="en-NZ"/>
        </w:rPr>
        <w:tab/>
        <w:t>Strategies to promote and protect the rights of children with disabilities, by incorporating the Convention into legislation, policies, programmes, service standards, operational procedures and compliance frameworks that apply to children in general;</w:t>
      </w:r>
    </w:p>
    <w:p w:rsidR="002F6B9A" w:rsidRPr="00027302" w:rsidRDefault="002F6B9A" w:rsidP="00320CC4">
      <w:pPr>
        <w:pStyle w:val="CRPD-subsectionheading"/>
        <w:spacing w:line="240" w:lineRule="auto"/>
      </w:pPr>
      <w:r w:rsidRPr="00AB67F0">
        <w:t xml:space="preserve">The </w:t>
      </w:r>
      <w:r w:rsidRPr="002F6B9A">
        <w:rPr>
          <w:i/>
        </w:rPr>
        <w:t>Child Impact Assessment Tool</w:t>
      </w:r>
      <w:r w:rsidRPr="00AB67F0">
        <w:rPr>
          <w:rStyle w:val="FootnoteReference"/>
        </w:rPr>
        <w:footnoteReference w:id="65"/>
      </w:r>
      <w:r w:rsidRPr="00AB67F0">
        <w:t xml:space="preserve"> can be used to consider the impacts of policy proposals on children and young people. It includes </w:t>
      </w:r>
      <w:r w:rsidRPr="00027302">
        <w:t xml:space="preserve">specific consideration of how a </w:t>
      </w:r>
      <w:r w:rsidR="00F658E9">
        <w:t>policy or proposal will affect</w:t>
      </w:r>
      <w:r w:rsidRPr="00027302">
        <w:t xml:space="preserve"> disabled children and young people. The guidance</w:t>
      </w:r>
      <w:r w:rsidRPr="00027302">
        <w:rPr>
          <w:rStyle w:val="FootnoteReference"/>
        </w:rPr>
        <w:footnoteReference w:id="66"/>
      </w:r>
      <w:r w:rsidRPr="00027302">
        <w:t xml:space="preserve"> for the tool, suggests people refer to other United Nations treaties including the CRPD. </w:t>
      </w:r>
    </w:p>
    <w:p w:rsidR="00D56C9A" w:rsidRPr="0085494F" w:rsidRDefault="00D56C9A" w:rsidP="00320CC4">
      <w:pPr>
        <w:pStyle w:val="CRPD-subsectionheading"/>
        <w:spacing w:line="240" w:lineRule="auto"/>
      </w:pPr>
      <w:r w:rsidRPr="0085494F">
        <w:t xml:space="preserve">Changes to </w:t>
      </w:r>
      <w:r w:rsidRPr="00D56C9A">
        <w:t>t</w:t>
      </w:r>
      <w:r w:rsidR="00895161" w:rsidRPr="00D56C9A">
        <w:t xml:space="preserve">he </w:t>
      </w:r>
      <w:r w:rsidR="00895161" w:rsidRPr="007769D0">
        <w:rPr>
          <w:i/>
        </w:rPr>
        <w:t>Oranga Tamariki Act 1989</w:t>
      </w:r>
      <w:r w:rsidRPr="007769D0">
        <w:rPr>
          <w:i/>
        </w:rPr>
        <w:t>,</w:t>
      </w:r>
      <w:r w:rsidR="008201C2" w:rsidRPr="007769D0">
        <w:rPr>
          <w:i/>
        </w:rPr>
        <w:t xml:space="preserve"> </w:t>
      </w:r>
      <w:r w:rsidRPr="0085494F">
        <w:t xml:space="preserve">due to take effect before or on 1 July 2019, will </w:t>
      </w:r>
      <w:r w:rsidRPr="00D56C9A">
        <w:t xml:space="preserve">explicitly reference the CRPD. The Act </w:t>
      </w:r>
      <w:r w:rsidR="00584385">
        <w:t>states</w:t>
      </w:r>
      <w:r w:rsidRPr="00D56C9A">
        <w:t xml:space="preserve"> that </w:t>
      </w:r>
      <w:r w:rsidRPr="0085494F">
        <w:t>any court or other person exercising powers under the Act must</w:t>
      </w:r>
      <w:r w:rsidRPr="00D56C9A">
        <w:t xml:space="preserve"> </w:t>
      </w:r>
      <w:r w:rsidRPr="0085494F">
        <w:t xml:space="preserve">respect and uphold children and young people’s rights, including those rights set out in the United Nations Convention on the Rights of the Child </w:t>
      </w:r>
      <w:r w:rsidR="00F17417">
        <w:t>(UNCROC)</w:t>
      </w:r>
      <w:r w:rsidR="00F17417" w:rsidRPr="0085494F">
        <w:t xml:space="preserve"> </w:t>
      </w:r>
      <w:r w:rsidRPr="0085494F">
        <w:t>and the CRPD</w:t>
      </w:r>
      <w:r w:rsidRPr="0085494F">
        <w:rPr>
          <w:rStyle w:val="FootnoteReference"/>
        </w:rPr>
        <w:footnoteReference w:id="67"/>
      </w:r>
      <w:r w:rsidRPr="0085494F">
        <w:t>.</w:t>
      </w:r>
    </w:p>
    <w:p w:rsidR="000D0118" w:rsidRPr="00AB67F0" w:rsidRDefault="000D0118" w:rsidP="00320CC4">
      <w:pPr>
        <w:pStyle w:val="CRPD-subsectionheading"/>
        <w:spacing w:line="240" w:lineRule="auto"/>
      </w:pPr>
      <w:r w:rsidRPr="00AB67F0">
        <w:lastRenderedPageBreak/>
        <w:t xml:space="preserve">The </w:t>
      </w:r>
      <w:r w:rsidRPr="00AB67F0">
        <w:rPr>
          <w:i/>
        </w:rPr>
        <w:t>Oranga Tamariki practice framework</w:t>
      </w:r>
      <w:r w:rsidR="00F658E9">
        <w:rPr>
          <w:rStyle w:val="FootnoteReference"/>
          <w:i/>
        </w:rPr>
        <w:footnoteReference w:id="68"/>
      </w:r>
      <w:r w:rsidRPr="00AB67F0">
        <w:t xml:space="preserve"> sets out guidance for practitioners, including front-line social workers, </w:t>
      </w:r>
      <w:r w:rsidR="00887878">
        <w:t xml:space="preserve">who </w:t>
      </w:r>
      <w:r w:rsidRPr="00AB67F0">
        <w:t>work with children, young people and their families and whānau.</w:t>
      </w:r>
      <w:r w:rsidR="001248AE" w:rsidRPr="00AB67F0">
        <w:t xml:space="preserve"> </w:t>
      </w:r>
      <w:r w:rsidR="00E86140" w:rsidRPr="00AB67F0">
        <w:t xml:space="preserve">The practice framework </w:t>
      </w:r>
      <w:r w:rsidRPr="00AB67F0">
        <w:t>includes</w:t>
      </w:r>
      <w:r w:rsidR="00E86140" w:rsidRPr="00AB67F0">
        <w:t xml:space="preserve"> guidance</w:t>
      </w:r>
      <w:r w:rsidR="00C475CE" w:rsidRPr="00AB67F0">
        <w:t xml:space="preserve"> </w:t>
      </w:r>
      <w:r w:rsidR="00E86140" w:rsidRPr="00AB67F0">
        <w:t>on</w:t>
      </w:r>
      <w:r w:rsidRPr="00AB67F0">
        <w:t>:</w:t>
      </w:r>
    </w:p>
    <w:p w:rsidR="000D0118" w:rsidRPr="00797716" w:rsidRDefault="000D0118" w:rsidP="00320CC4">
      <w:pPr>
        <w:pStyle w:val="CRPDStateParty-bullets"/>
        <w:widowControl w:val="0"/>
        <w:spacing w:line="240" w:lineRule="auto"/>
      </w:pPr>
      <w:r w:rsidRPr="00797716">
        <w:t xml:space="preserve">the promotion and protection of the rights of disabled children </w:t>
      </w:r>
    </w:p>
    <w:p w:rsidR="000D0118" w:rsidRPr="00797716" w:rsidRDefault="000D0118" w:rsidP="00320CC4">
      <w:pPr>
        <w:pStyle w:val="CRPDStateParty-bullets"/>
        <w:widowControl w:val="0"/>
        <w:spacing w:line="240" w:lineRule="auto"/>
      </w:pPr>
      <w:r w:rsidRPr="00797716">
        <w:t xml:space="preserve">the </w:t>
      </w:r>
      <w:r w:rsidR="00F17417" w:rsidRPr="00797716">
        <w:t xml:space="preserve">UNCROC </w:t>
      </w:r>
      <w:r w:rsidRPr="00797716">
        <w:t xml:space="preserve">and the </w:t>
      </w:r>
      <w:r w:rsidR="003D1AC6" w:rsidRPr="00797716">
        <w:t>CRPD</w:t>
      </w:r>
      <w:r w:rsidRPr="00797716">
        <w:t xml:space="preserve"> </w:t>
      </w:r>
    </w:p>
    <w:p w:rsidR="000D0118" w:rsidRPr="00797716" w:rsidRDefault="000D0118" w:rsidP="00320CC4">
      <w:pPr>
        <w:pStyle w:val="CRPDStateParty-bullets"/>
        <w:widowControl w:val="0"/>
        <w:spacing w:line="240" w:lineRule="auto"/>
      </w:pPr>
      <w:r w:rsidRPr="00797716">
        <w:t>supporting disabled children and young people.</w:t>
      </w:r>
    </w:p>
    <w:bookmarkEnd w:id="7"/>
    <w:p w:rsidR="00B3642A" w:rsidRPr="00027302" w:rsidRDefault="00B3642A" w:rsidP="00320CC4">
      <w:pPr>
        <w:pStyle w:val="CRPD-subsectionheading"/>
        <w:spacing w:line="240" w:lineRule="auto"/>
      </w:pPr>
      <w:r w:rsidRPr="00027302">
        <w:t>See</w:t>
      </w:r>
      <w:r w:rsidR="001248AE" w:rsidRPr="00027302">
        <w:t xml:space="preserve"> </w:t>
      </w:r>
      <w:r w:rsidR="00A96E48" w:rsidRPr="00027302">
        <w:t>question</w:t>
      </w:r>
      <w:r w:rsidR="00D56C9A" w:rsidRPr="00027302">
        <w:t>s</w:t>
      </w:r>
      <w:r w:rsidRPr="00027302">
        <w:t xml:space="preserve"> </w:t>
      </w:r>
      <w:r w:rsidR="0003415D" w:rsidRPr="00027302">
        <w:t xml:space="preserve">7(a) and </w:t>
      </w:r>
      <w:r w:rsidRPr="00027302">
        <w:t xml:space="preserve">21(a). </w:t>
      </w:r>
    </w:p>
    <w:p w:rsidR="00E64FBD" w:rsidRPr="00237D85" w:rsidRDefault="00E64FBD" w:rsidP="00320CC4">
      <w:pPr>
        <w:pStyle w:val="CRPD-Questionstyle"/>
        <w:widowControl w:val="0"/>
        <w:spacing w:line="240" w:lineRule="auto"/>
        <w:ind w:firstLine="567"/>
        <w:rPr>
          <w:lang w:val="en-NZ"/>
        </w:rPr>
      </w:pPr>
      <w:r w:rsidRPr="00237D85">
        <w:rPr>
          <w:lang w:val="en-NZ"/>
        </w:rPr>
        <w:t>(c)</w:t>
      </w:r>
      <w:r w:rsidRPr="00237D85">
        <w:rPr>
          <w:lang w:val="en-NZ"/>
        </w:rPr>
        <w:tab/>
        <w:t>Measures taken by the Ministry for Vulnerable Children</w:t>
      </w:r>
      <w:r w:rsidR="002234FD" w:rsidRPr="00237D85">
        <w:rPr>
          <w:rStyle w:val="FootnoteReference"/>
          <w:b w:val="0"/>
          <w:lang w:val="en-NZ"/>
        </w:rPr>
        <w:footnoteReference w:id="69"/>
      </w:r>
      <w:r w:rsidRPr="00237D85">
        <w:rPr>
          <w:lang w:val="en-NZ"/>
        </w:rPr>
        <w:t xml:space="preserve"> and across all sectors to ensure that children with disabilities and their families receive appropriate support, including under the care and protection systems, and have access to community-based services;</w:t>
      </w:r>
    </w:p>
    <w:p w:rsidR="007769D0" w:rsidRDefault="007769D0" w:rsidP="00320CC4">
      <w:pPr>
        <w:pStyle w:val="CRPD-subsectionheading"/>
        <w:spacing w:line="240" w:lineRule="auto"/>
      </w:pPr>
      <w:r w:rsidRPr="00237D85">
        <w:rPr>
          <w:i/>
        </w:rPr>
        <w:t>Gateway Assessments</w:t>
      </w:r>
      <w:r w:rsidR="00172F81">
        <w:rPr>
          <w:i/>
        </w:rPr>
        <w:t xml:space="preserve"> </w:t>
      </w:r>
      <w:r w:rsidRPr="00237D85">
        <w:t xml:space="preserve">allow Government to identify and respond to children in, or at risk of, entering statutory care. </w:t>
      </w:r>
      <w:r w:rsidRPr="00237D85">
        <w:rPr>
          <w:i/>
        </w:rPr>
        <w:t>Gateway Assessments</w:t>
      </w:r>
      <w:r w:rsidRPr="00237D85">
        <w:t xml:space="preserve"> provide a full assessment of a child’s health, educational, social and emotional needs</w:t>
      </w:r>
      <w:r w:rsidR="00F44D6E">
        <w:t xml:space="preserve">. </w:t>
      </w:r>
      <w:r w:rsidR="00803D65">
        <w:t>A</w:t>
      </w:r>
      <w:r w:rsidRPr="00237D85">
        <w:t xml:space="preserve"> plan </w:t>
      </w:r>
      <w:r w:rsidR="00F44D6E">
        <w:t xml:space="preserve">is </w:t>
      </w:r>
      <w:r w:rsidR="00803D65">
        <w:t xml:space="preserve">then </w:t>
      </w:r>
      <w:r w:rsidR="00F44D6E">
        <w:t>made to respond</w:t>
      </w:r>
      <w:r w:rsidRPr="00237D85">
        <w:t xml:space="preserve"> to those needs. </w:t>
      </w:r>
      <w:r w:rsidR="00B07E32" w:rsidRPr="00237D85">
        <w:t>Plans include access to a range of supports and services</w:t>
      </w:r>
      <w:r w:rsidR="00B07E32">
        <w:t xml:space="preserve"> for children and their family, </w:t>
      </w:r>
      <w:r w:rsidR="00B07E32" w:rsidRPr="00237D85">
        <w:t xml:space="preserve">whānau and caregivers. </w:t>
      </w:r>
    </w:p>
    <w:p w:rsidR="007769D0" w:rsidRDefault="007769D0" w:rsidP="00320CC4">
      <w:pPr>
        <w:pStyle w:val="CRPD-subsectionheading"/>
        <w:spacing w:line="240" w:lineRule="auto"/>
      </w:pPr>
      <w:r>
        <w:t>The High and Complex Needs Unit</w:t>
      </w:r>
      <w:r w:rsidR="00F658E9">
        <w:rPr>
          <w:rStyle w:val="FootnoteReference"/>
        </w:rPr>
        <w:footnoteReference w:id="70"/>
      </w:r>
      <w:r>
        <w:t xml:space="preserve"> supports families, whānau and caregivers with children and young people who have high and complex needs, often associated with disabilities. From this service,</w:t>
      </w:r>
      <w:r w:rsidRPr="00237D85">
        <w:t xml:space="preserve"> children and young people </w:t>
      </w:r>
      <w:r>
        <w:t xml:space="preserve">can access supports </w:t>
      </w:r>
      <w:r w:rsidR="00B70EBF">
        <w:t>including</w:t>
      </w:r>
      <w:r w:rsidRPr="00237D85">
        <w:t xml:space="preserve"> speech language therapy, occupational therapy, psychological services, and intensive parenting services.</w:t>
      </w:r>
    </w:p>
    <w:p w:rsidR="007769D0" w:rsidRPr="00825040" w:rsidRDefault="007769D0" w:rsidP="00320CC4">
      <w:pPr>
        <w:pStyle w:val="CRPD-subsectionheading"/>
        <w:spacing w:line="240" w:lineRule="auto"/>
      </w:pPr>
      <w:r w:rsidRPr="00825040">
        <w:t>A new Learning Support Approach is being piloted</w:t>
      </w:r>
      <w:r w:rsidR="00887878">
        <w:t xml:space="preserve"> which aims</w:t>
      </w:r>
      <w:r w:rsidRPr="00825040">
        <w:t xml:space="preserve"> to be more focused on children’s needs and easier for parents and whānau</w:t>
      </w:r>
      <w:r w:rsidR="00887878">
        <w:t xml:space="preserve"> to access</w:t>
      </w:r>
      <w:r w:rsidRPr="00825040">
        <w:t>, so that children get the right support at the right time, within an inclusive education system.</w:t>
      </w:r>
    </w:p>
    <w:p w:rsidR="00027302" w:rsidRDefault="00825040" w:rsidP="00320CC4">
      <w:pPr>
        <w:pStyle w:val="CRPD-subsectionheading"/>
        <w:spacing w:line="240" w:lineRule="auto"/>
      </w:pPr>
      <w:r w:rsidRPr="00825040">
        <w:lastRenderedPageBreak/>
        <w:t xml:space="preserve">The disability support system transformation </w:t>
      </w:r>
      <w:r w:rsidR="00887878">
        <w:t>prototype (Mana Whaikaha</w:t>
      </w:r>
      <w:r w:rsidR="00F658E9">
        <w:rPr>
          <w:rStyle w:val="FootnoteReference"/>
        </w:rPr>
        <w:footnoteReference w:id="71"/>
      </w:r>
      <w:r w:rsidR="00887878">
        <w:t xml:space="preserve">) </w:t>
      </w:r>
      <w:r w:rsidRPr="00825040">
        <w:t>will deliver better support for disabled children and their families. Within Mana Whaikaha, TurboKids is a cross-agency collaborative approach to providing planned early and immediate support options for children, young people and their whānau. The group meets regularly to discuss disabled children with high and complex needs</w:t>
      </w:r>
      <w:r>
        <w:rPr>
          <w:rStyle w:val="FootnoteReference"/>
        </w:rPr>
        <w:footnoteReference w:id="72"/>
      </w:r>
      <w:r w:rsidR="00B63797">
        <w:t xml:space="preserve">. </w:t>
      </w:r>
    </w:p>
    <w:p w:rsidR="00E64FBD" w:rsidRPr="00237D85" w:rsidRDefault="00E64FBD" w:rsidP="00320CC4">
      <w:pPr>
        <w:pStyle w:val="CRPD-Questionstyle"/>
        <w:widowControl w:val="0"/>
        <w:spacing w:line="240" w:lineRule="auto"/>
        <w:ind w:firstLine="567"/>
        <w:rPr>
          <w:lang w:val="en-NZ"/>
        </w:rPr>
      </w:pPr>
      <w:r w:rsidRPr="00237D85">
        <w:rPr>
          <w:lang w:val="en-NZ"/>
        </w:rPr>
        <w:t>(d)</w:t>
      </w:r>
      <w:r w:rsidRPr="00237D85">
        <w:rPr>
          <w:lang w:val="en-NZ"/>
        </w:rPr>
        <w:tab/>
        <w:t xml:space="preserve">Measures taken to prevent abuse in State care institutions, respond to complaints and provide redress for victims of historic abuse in State care institutions, following the conclusions and recommendations in the Judge Henwood report (2015) and the Donald Beasley Institute report (2017). </w:t>
      </w:r>
      <w:r w:rsidR="00887878">
        <w:rPr>
          <w:lang w:val="en-NZ"/>
        </w:rPr>
        <w:t>I</w:t>
      </w:r>
      <w:r w:rsidRPr="00237D85">
        <w:rPr>
          <w:lang w:val="en-NZ"/>
        </w:rPr>
        <w:t>nform the Committee about criminal investigations carried out in relation to allegations of ill-treatment and torture in care institutions, including health-care facilities;</w:t>
      </w:r>
    </w:p>
    <w:p w:rsidR="007C6606" w:rsidRPr="00AB67F0" w:rsidRDefault="002D21E1" w:rsidP="00320CC4">
      <w:pPr>
        <w:pStyle w:val="CRPD-subsectionheading"/>
        <w:spacing w:line="240" w:lineRule="auto"/>
        <w:rPr>
          <w:b/>
        </w:rPr>
      </w:pPr>
      <w:r w:rsidRPr="00AB67F0">
        <w:t>NZ</w:t>
      </w:r>
      <w:r w:rsidR="007C6606" w:rsidRPr="00AB67F0">
        <w:t xml:space="preserve"> went through a process of deinstitutionalisation in the 1980s</w:t>
      </w:r>
      <w:r w:rsidR="00887878">
        <w:t xml:space="preserve"> with the last large-</w:t>
      </w:r>
      <w:r w:rsidR="00F20360" w:rsidRPr="00AB67F0">
        <w:t xml:space="preserve">scale residential institution for people with intellectual disabilities closing in 2006. </w:t>
      </w:r>
    </w:p>
    <w:p w:rsidR="00AB67F0" w:rsidRPr="00781B02" w:rsidRDefault="00781B02" w:rsidP="00320CC4">
      <w:pPr>
        <w:pStyle w:val="CRPD-subsectionheading"/>
        <w:spacing w:line="240" w:lineRule="auto"/>
      </w:pPr>
      <w:r w:rsidRPr="00781B02">
        <w:rPr>
          <w:i/>
        </w:rPr>
        <w:t>The Royal Commission into Historical Abuse in State Care and in the Care of Faith-based Institutions</w:t>
      </w:r>
      <w:r w:rsidR="00AB67F0">
        <w:rPr>
          <w:rStyle w:val="FootnoteReference"/>
          <w:i/>
          <w:iCs/>
        </w:rPr>
        <w:footnoteReference w:id="73"/>
      </w:r>
      <w:r w:rsidRPr="00781B02">
        <w:rPr>
          <w:i/>
        </w:rPr>
        <w:t xml:space="preserve"> </w:t>
      </w:r>
      <w:r w:rsidRPr="00781B02">
        <w:t xml:space="preserve">was fully established </w:t>
      </w:r>
      <w:r w:rsidR="00803D65">
        <w:t>in</w:t>
      </w:r>
      <w:r w:rsidRPr="00781B02">
        <w:t xml:space="preserve"> November 2018,</w:t>
      </w:r>
      <w:r>
        <w:t xml:space="preserve"> following public consultation. </w:t>
      </w:r>
      <w:r w:rsidR="00AB67F0" w:rsidRPr="00781B02">
        <w:t xml:space="preserve">The Inquiry </w:t>
      </w:r>
      <w:r w:rsidR="00AB67F0" w:rsidRPr="00AB67F0">
        <w:t>expects</w:t>
      </w:r>
      <w:r w:rsidR="00AB67F0">
        <w:t xml:space="preserve"> to deliver</w:t>
      </w:r>
      <w:r w:rsidR="00AB67F0" w:rsidRPr="00781B02">
        <w:t xml:space="preserve"> an interim report in 2020 and a final report in 2023. </w:t>
      </w:r>
    </w:p>
    <w:p w:rsidR="00AB67F0" w:rsidRPr="00AB67F0" w:rsidRDefault="00781B02" w:rsidP="00320CC4">
      <w:pPr>
        <w:pStyle w:val="CRPD-subsectionheading"/>
        <w:spacing w:line="240" w:lineRule="auto"/>
      </w:pPr>
      <w:r w:rsidRPr="00781B02">
        <w:t>The inquiry will</w:t>
      </w:r>
      <w:r w:rsidR="00AB67F0">
        <w:t>:</w:t>
      </w:r>
    </w:p>
    <w:p w:rsidR="00AB67F0" w:rsidRPr="00AB67F0" w:rsidRDefault="00781B02" w:rsidP="00320CC4">
      <w:pPr>
        <w:pStyle w:val="CRPDStateParty-bullets"/>
        <w:widowControl w:val="0"/>
        <w:spacing w:line="240" w:lineRule="auto"/>
      </w:pPr>
      <w:r w:rsidRPr="00781B02">
        <w:t>exami</w:t>
      </w:r>
      <w:r w:rsidR="005E091C">
        <w:t>ne historical abuse between 1950 and 1999 (</w:t>
      </w:r>
      <w:r w:rsidR="005E091C" w:rsidRPr="00781B02">
        <w:t>wit</w:t>
      </w:r>
      <w:r w:rsidR="005E091C">
        <w:t xml:space="preserve">h discretion beyond these dates) </w:t>
      </w:r>
      <w:r w:rsidR="005E091C" w:rsidRPr="005E091C">
        <w:t>of children, young per</w:t>
      </w:r>
      <w:r w:rsidR="00803D65">
        <w:t>sons, and vulnerable adults in s</w:t>
      </w:r>
      <w:r w:rsidR="005E091C" w:rsidRPr="005E091C">
        <w:t>tate care and in the care of faith-based institutions</w:t>
      </w:r>
    </w:p>
    <w:p w:rsidR="005E091C" w:rsidRPr="00AB67F0" w:rsidRDefault="005E091C" w:rsidP="00320CC4">
      <w:pPr>
        <w:pStyle w:val="CRPDStateParty-bullets"/>
        <w:widowControl w:val="0"/>
        <w:spacing w:line="240" w:lineRule="auto"/>
      </w:pPr>
      <w:r>
        <w:t>consider the nature and ex</w:t>
      </w:r>
      <w:r w:rsidR="00887878">
        <w:t>tent of abuse that occurred in s</w:t>
      </w:r>
      <w:r>
        <w:t xml:space="preserve">tate care including </w:t>
      </w:r>
      <w:r w:rsidRPr="00781B02">
        <w:t xml:space="preserve">physical, emotional and sexual </w:t>
      </w:r>
      <w:r w:rsidRPr="00AB67F0">
        <w:t>abuse</w:t>
      </w:r>
      <w:r w:rsidR="00887878">
        <w:t xml:space="preserve">, </w:t>
      </w:r>
      <w:r w:rsidRPr="00781B02">
        <w:t>neglect</w:t>
      </w:r>
      <w:r w:rsidR="00887878">
        <w:t xml:space="preserve"> and</w:t>
      </w:r>
      <w:r w:rsidRPr="00781B02">
        <w:t xml:space="preserve"> inadequate care that caused s</w:t>
      </w:r>
      <w:r>
        <w:t>erious mental or physical harm</w:t>
      </w:r>
    </w:p>
    <w:p w:rsidR="00AB67F0" w:rsidRPr="00AB67F0" w:rsidRDefault="00AB67F0" w:rsidP="00320CC4">
      <w:pPr>
        <w:pStyle w:val="CRPDStateParty-bullets"/>
        <w:widowControl w:val="0"/>
        <w:spacing w:line="240" w:lineRule="auto"/>
      </w:pPr>
      <w:r>
        <w:t xml:space="preserve">seek </w:t>
      </w:r>
      <w:r w:rsidR="00781B02" w:rsidRPr="00781B02">
        <w:t xml:space="preserve">to understand </w:t>
      </w:r>
      <w:r w:rsidRPr="00AB67F0">
        <w:t xml:space="preserve">any differential impacts of abuse </w:t>
      </w:r>
      <w:r w:rsidRPr="00AB67F0">
        <w:lastRenderedPageBreak/>
        <w:t>in state care for Māori and any groups where differential impact is evident</w:t>
      </w:r>
      <w:r>
        <w:t>. For example</w:t>
      </w:r>
      <w:r w:rsidR="00406C83">
        <w:t>,</w:t>
      </w:r>
      <w:r>
        <w:t xml:space="preserve"> by gender, LGBTQI</w:t>
      </w:r>
      <w:r w:rsidR="00887878">
        <w:rPr>
          <w:rStyle w:val="FootnoteReference"/>
        </w:rPr>
        <w:footnoteReference w:id="74"/>
      </w:r>
      <w:r w:rsidRPr="00AB67F0">
        <w:t xml:space="preserve"> people, Pacific people, disabled people, and people with mental health issues.</w:t>
      </w:r>
    </w:p>
    <w:p w:rsidR="00FC4702" w:rsidRPr="00237D85" w:rsidRDefault="00FC4702" w:rsidP="00320CC4">
      <w:pPr>
        <w:pStyle w:val="CRPD-subsectionheading"/>
        <w:spacing w:line="240" w:lineRule="auto"/>
      </w:pPr>
      <w:r w:rsidRPr="00A9721C">
        <w:t>National Care Standards</w:t>
      </w:r>
      <w:r w:rsidR="0049486A">
        <w:rPr>
          <w:rStyle w:val="FootnoteReference"/>
        </w:rPr>
        <w:footnoteReference w:id="75"/>
      </w:r>
      <w:r w:rsidR="004A0F5D">
        <w:t xml:space="preserve"> will</w:t>
      </w:r>
      <w:r w:rsidRPr="00A9721C">
        <w:t xml:space="preserve"> </w:t>
      </w:r>
      <w:r w:rsidR="004A0F5D" w:rsidRPr="00A9721C">
        <w:t>cover any child or young person in statutory care or custody</w:t>
      </w:r>
      <w:r w:rsidR="004A0F5D">
        <w:t>. These standards will</w:t>
      </w:r>
      <w:r w:rsidR="004A0F5D" w:rsidRPr="00A9721C">
        <w:t xml:space="preserve"> </w:t>
      </w:r>
      <w:r w:rsidRPr="00A9721C">
        <w:t>come into force on 1 July 2019. Schedule 2 of the Care Standards sets out a statement of rights for children and young people.</w:t>
      </w:r>
    </w:p>
    <w:p w:rsidR="00FC4702" w:rsidRPr="00B63797" w:rsidRDefault="00FC4702" w:rsidP="00320CC4">
      <w:pPr>
        <w:pStyle w:val="CRPD-Questionstyle"/>
        <w:spacing w:line="240" w:lineRule="auto"/>
      </w:pPr>
      <w:r w:rsidRPr="00B63797">
        <w:t>Criminal investigations</w:t>
      </w:r>
    </w:p>
    <w:p w:rsidR="00E00441" w:rsidRPr="00237D85" w:rsidRDefault="00E00441" w:rsidP="00320CC4">
      <w:pPr>
        <w:pStyle w:val="CRPD-subsectionheading"/>
        <w:spacing w:line="240" w:lineRule="auto"/>
      </w:pPr>
      <w:r>
        <w:t xml:space="preserve">It is </w:t>
      </w:r>
      <w:r w:rsidR="00FC4702">
        <w:t>un</w:t>
      </w:r>
      <w:r>
        <w:t>known how many c</w:t>
      </w:r>
      <w:r w:rsidR="00BE0068" w:rsidRPr="009A58B8">
        <w:t xml:space="preserve">riminal investigations </w:t>
      </w:r>
      <w:r>
        <w:t xml:space="preserve">were </w:t>
      </w:r>
      <w:r w:rsidR="00BE0068" w:rsidRPr="009A58B8">
        <w:t>carried out in relation to allegations of ill-treatment and torture in care institutions, i</w:t>
      </w:r>
      <w:r w:rsidR="00BE0068">
        <w:t xml:space="preserve">ncluding health-care facilities </w:t>
      </w:r>
      <w:r>
        <w:t>against disabled people. This is because d</w:t>
      </w:r>
      <w:r w:rsidRPr="00237D85">
        <w:t xml:space="preserve">ata recorded about complaints of historic physical or sexual abuse does not separately identify </w:t>
      </w:r>
      <w:r w:rsidR="00FA33CA">
        <w:t>complaints</w:t>
      </w:r>
      <w:r w:rsidRPr="00237D85">
        <w:t xml:space="preserve"> involving state care from other historic physical or sexual abuse investigations.</w:t>
      </w:r>
    </w:p>
    <w:p w:rsidR="00185E9E" w:rsidRDefault="00185E9E" w:rsidP="00320CC4">
      <w:pPr>
        <w:pStyle w:val="CRPD-subsectionheading"/>
        <w:spacing w:line="240" w:lineRule="auto"/>
        <w:rPr>
          <w:b/>
        </w:rPr>
      </w:pPr>
      <w:r w:rsidRPr="00FC4702">
        <w:t>The Government is not aware of any criminal investigations relating to allegations of historic abuse in psychiatric institutions prior to 1993</w:t>
      </w:r>
      <w:r w:rsidR="00BB6EBF" w:rsidRPr="00FC4702">
        <w:rPr>
          <w:rStyle w:val="FootnoteReference"/>
        </w:rPr>
        <w:footnoteReference w:id="76"/>
      </w:r>
      <w:r w:rsidRPr="00FC4702">
        <w:t>.</w:t>
      </w:r>
      <w:r w:rsidR="00BE0068" w:rsidRPr="00FC4702">
        <w:t xml:space="preserve"> </w:t>
      </w:r>
      <w:r w:rsidR="000E272F" w:rsidRPr="00FC4702">
        <w:rPr>
          <w:b/>
        </w:rPr>
        <w:t xml:space="preserve"> </w:t>
      </w:r>
    </w:p>
    <w:p w:rsidR="00FC4702" w:rsidRPr="00B63797" w:rsidRDefault="00FC4702" w:rsidP="00320CC4">
      <w:pPr>
        <w:pStyle w:val="CRPD-Questionstyle"/>
        <w:spacing w:line="240" w:lineRule="auto"/>
      </w:pPr>
      <w:r w:rsidRPr="00B63797">
        <w:t>Complaints</w:t>
      </w:r>
    </w:p>
    <w:p w:rsidR="00F20360" w:rsidRDefault="00F20360" w:rsidP="00320CC4">
      <w:pPr>
        <w:pStyle w:val="CRPD-subsectionheading"/>
        <w:spacing w:line="240" w:lineRule="auto"/>
      </w:pPr>
      <w:r w:rsidRPr="00942A6F">
        <w:t>The Office</w:t>
      </w:r>
      <w:r w:rsidRPr="00237D85">
        <w:t xml:space="preserve"> of the Health and Disability Commissioner</w:t>
      </w:r>
      <w:r>
        <w:t xml:space="preserve"> can resolve complaints about health or disability services</w:t>
      </w:r>
      <w:r>
        <w:rPr>
          <w:rStyle w:val="FootnoteReference"/>
        </w:rPr>
        <w:footnoteReference w:id="77"/>
      </w:r>
      <w:r>
        <w:t>.</w:t>
      </w:r>
    </w:p>
    <w:p w:rsidR="00F20360" w:rsidRDefault="00F20360" w:rsidP="00320CC4">
      <w:pPr>
        <w:pStyle w:val="CRPD-subsectionheading"/>
        <w:spacing w:line="240" w:lineRule="auto"/>
      </w:pPr>
      <w:r>
        <w:t>The Office of the Ombudsman</w:t>
      </w:r>
      <w:r w:rsidR="0049486A">
        <w:rPr>
          <w:rStyle w:val="FootnoteReference"/>
        </w:rPr>
        <w:footnoteReference w:id="78"/>
      </w:r>
      <w:r>
        <w:t xml:space="preserve"> can receive complaints about state sector agencies. </w:t>
      </w:r>
    </w:p>
    <w:p w:rsidR="00BA5F3C" w:rsidRPr="00A9721C" w:rsidRDefault="00BA5F3C" w:rsidP="00320CC4">
      <w:pPr>
        <w:pStyle w:val="CRPD-subsectionheading"/>
        <w:spacing w:line="240" w:lineRule="auto"/>
      </w:pPr>
      <w:r>
        <w:t>The Office of the Inspectorate</w:t>
      </w:r>
      <w:r>
        <w:rPr>
          <w:rStyle w:val="FootnoteReference"/>
        </w:rPr>
        <w:footnoteReference w:id="79"/>
      </w:r>
      <w:r>
        <w:t xml:space="preserve"> can receive complaints from people in prison. </w:t>
      </w:r>
    </w:p>
    <w:p w:rsidR="00E64FBD" w:rsidRPr="00237D85" w:rsidRDefault="00E64FBD" w:rsidP="00320CC4">
      <w:pPr>
        <w:pStyle w:val="CRPD-Questionstyle"/>
        <w:widowControl w:val="0"/>
        <w:spacing w:line="240" w:lineRule="auto"/>
        <w:ind w:firstLine="567"/>
        <w:rPr>
          <w:lang w:val="en-NZ"/>
        </w:rPr>
      </w:pPr>
      <w:r w:rsidRPr="00237D85">
        <w:rPr>
          <w:lang w:val="en-NZ"/>
        </w:rPr>
        <w:t>(e)</w:t>
      </w:r>
      <w:r w:rsidRPr="00237D85">
        <w:rPr>
          <w:lang w:val="en-NZ"/>
        </w:rPr>
        <w:tab/>
        <w:t>Measures taken to prevent children with disabilities from being placed in potentially abusive foster care situations, through mandatory vetting procedures of foster families.</w:t>
      </w:r>
    </w:p>
    <w:p w:rsidR="003546C8" w:rsidRPr="00237D85" w:rsidRDefault="003546C8" w:rsidP="00320CC4">
      <w:pPr>
        <w:pStyle w:val="CRPD-subsectionheading"/>
        <w:spacing w:line="240" w:lineRule="auto"/>
      </w:pPr>
      <w:r w:rsidRPr="009E1403">
        <w:lastRenderedPageBreak/>
        <w:t>Foster families or caregivers go through a</w:t>
      </w:r>
      <w:r w:rsidR="00015762" w:rsidRPr="009E1403">
        <w:t xml:space="preserve"> mandatory</w:t>
      </w:r>
      <w:r w:rsidRPr="009E1403">
        <w:t xml:space="preserve"> vetting process b</w:t>
      </w:r>
      <w:r w:rsidRPr="00237D85">
        <w:t xml:space="preserve">efore </w:t>
      </w:r>
      <w:r w:rsidR="00E00441">
        <w:t>the Government</w:t>
      </w:r>
      <w:r w:rsidR="00A442FF" w:rsidRPr="00237D85">
        <w:t xml:space="preserve"> </w:t>
      </w:r>
      <w:r w:rsidR="00A442FF">
        <w:t xml:space="preserve">places </w:t>
      </w:r>
      <w:r w:rsidRPr="00237D85">
        <w:t>any child with them</w:t>
      </w:r>
      <w:r w:rsidR="00ED7C13" w:rsidRPr="00237D85">
        <w:t xml:space="preserve">. This process involves police checks, reference checks, home assessments and a review of documents </w:t>
      </w:r>
      <w:r w:rsidRPr="00237D85">
        <w:t>held in</w:t>
      </w:r>
      <w:r w:rsidR="009D2195">
        <w:t xml:space="preserve"> the </w:t>
      </w:r>
      <w:r w:rsidRPr="00237D85">
        <w:t>case management system</w:t>
      </w:r>
      <w:r w:rsidR="009D2195">
        <w:t xml:space="preserve"> of Oranga Tamariki</w:t>
      </w:r>
      <w:r w:rsidR="007469B1" w:rsidRPr="00237D85">
        <w:t>.</w:t>
      </w:r>
    </w:p>
    <w:p w:rsidR="003546C8" w:rsidRDefault="00E16F89" w:rsidP="00320CC4">
      <w:pPr>
        <w:pStyle w:val="CRPD-subsectionheading"/>
        <w:spacing w:line="240" w:lineRule="auto"/>
      </w:pPr>
      <w:r>
        <w:t>The introduction of a</w:t>
      </w:r>
      <w:r w:rsidR="007469B1" w:rsidRPr="00237D85">
        <w:t xml:space="preserve"> new </w:t>
      </w:r>
      <w:r w:rsidR="003546C8" w:rsidRPr="00237D85">
        <w:t xml:space="preserve">centralised caregiver information system will </w:t>
      </w:r>
      <w:r w:rsidR="007469B1" w:rsidRPr="00237D85">
        <w:t xml:space="preserve">streamline vetting </w:t>
      </w:r>
      <w:r w:rsidR="009165C4">
        <w:t xml:space="preserve">and other caregiver </w:t>
      </w:r>
      <w:r w:rsidR="007469B1" w:rsidRPr="00237D85">
        <w:t>process</w:t>
      </w:r>
      <w:r w:rsidR="009165C4">
        <w:t>es</w:t>
      </w:r>
      <w:r w:rsidR="007469B1" w:rsidRPr="00237D85">
        <w:t xml:space="preserve">. </w:t>
      </w:r>
      <w:r w:rsidR="009165C4">
        <w:t xml:space="preserve">For example, it will </w:t>
      </w:r>
      <w:r w:rsidR="001962E1" w:rsidRPr="00237D85">
        <w:t xml:space="preserve">maintain </w:t>
      </w:r>
      <w:r w:rsidR="003546C8" w:rsidRPr="00237D85">
        <w:t>records of all caregiver training and development activities.</w:t>
      </w:r>
    </w:p>
    <w:p w:rsidR="009D2195" w:rsidRDefault="009D2195" w:rsidP="00320CC4">
      <w:pPr>
        <w:pStyle w:val="CRPD-subsectionheading"/>
        <w:spacing w:line="240" w:lineRule="auto"/>
      </w:pPr>
      <w:r w:rsidRPr="004A0F5D">
        <w:rPr>
          <w:i/>
        </w:rPr>
        <w:t>The</w:t>
      </w:r>
      <w:r>
        <w:t xml:space="preserve"> </w:t>
      </w:r>
      <w:r w:rsidRPr="004A0F5D">
        <w:rPr>
          <w:i/>
        </w:rPr>
        <w:t>Oranga Tamariki Act 1989</w:t>
      </w:r>
      <w:r>
        <w:t xml:space="preserve"> includes new principles that require special protection and assistance to be provided to children and young people in care that address their particular needs. Oranga Tamariki has developed national care standards regulations</w:t>
      </w:r>
      <w:r>
        <w:rPr>
          <w:rStyle w:val="FootnoteReference"/>
        </w:rPr>
        <w:footnoteReference w:id="80"/>
      </w:r>
      <w:r>
        <w:t xml:space="preserve"> that apply in respect of any child or young person in the care or custody of the </w:t>
      </w:r>
      <w:r w:rsidR="004A0F5D">
        <w:t>Chief E</w:t>
      </w:r>
      <w:r>
        <w:t xml:space="preserve">xecutive of Oranga Tamariki. Under these care standards, assessment and planning must identify the support required to meet children and young people’s full range of needs, including any </w:t>
      </w:r>
      <w:r w:rsidR="004A0F5D">
        <w:t>disability-</w:t>
      </w:r>
      <w:r>
        <w:t xml:space="preserve">related </w:t>
      </w:r>
      <w:r w:rsidR="004A0F5D">
        <w:t>needs</w:t>
      </w:r>
      <w:r>
        <w:t xml:space="preserve">. </w:t>
      </w:r>
    </w:p>
    <w:p w:rsidR="009D2195" w:rsidRDefault="009D2195" w:rsidP="00320CC4">
      <w:pPr>
        <w:pStyle w:val="CRPD-subsectionheading"/>
        <w:spacing w:line="240" w:lineRule="auto"/>
      </w:pPr>
      <w:r w:rsidRPr="009D2195">
        <w:t>Oranga Tamariki will address care and protection concerns about a child or young person by first working with the child or young person’s family, whānau, hapū</w:t>
      </w:r>
      <w:r w:rsidR="004A0F5D">
        <w:rPr>
          <w:rStyle w:val="FootnoteReference"/>
        </w:rPr>
        <w:footnoteReference w:id="81"/>
      </w:r>
      <w:r w:rsidRPr="009D2195">
        <w:t>, iwi</w:t>
      </w:r>
      <w:r w:rsidR="004A0F5D">
        <w:rPr>
          <w:rStyle w:val="FootnoteReference"/>
        </w:rPr>
        <w:footnoteReference w:id="82"/>
      </w:r>
      <w:r w:rsidRPr="009D2195">
        <w:t xml:space="preserve"> and family group to determine whether that child or young person can remain in their care. For severely disabled children to be able to be cared for at home will require the prov</w:t>
      </w:r>
      <w:r w:rsidR="0049486A">
        <w:t>ision of specialised disability-</w:t>
      </w:r>
      <w:r w:rsidRPr="009D2195">
        <w:t>related supports and services that are acceptable to families, and meet their needs.</w:t>
      </w:r>
    </w:p>
    <w:p w:rsidR="006F7302" w:rsidRPr="00237D85" w:rsidRDefault="006F7302" w:rsidP="00320CC4">
      <w:pPr>
        <w:pStyle w:val="CRPD-subsectionheading"/>
        <w:numPr>
          <w:ilvl w:val="0"/>
          <w:numId w:val="0"/>
        </w:numPr>
        <w:spacing w:line="240" w:lineRule="auto"/>
        <w:ind w:left="1530"/>
      </w:pPr>
    </w:p>
    <w:p w:rsidR="00E64FBD" w:rsidRPr="00EE3301" w:rsidRDefault="00E64FBD" w:rsidP="00320CC4">
      <w:pPr>
        <w:pStyle w:val="CRPD-Questionstyle"/>
        <w:widowControl w:val="0"/>
        <w:spacing w:line="240" w:lineRule="auto"/>
        <w:rPr>
          <w:rFonts w:ascii="Times New Roman" w:hAnsi="Times New Roman"/>
          <w:sz w:val="28"/>
          <w:szCs w:val="24"/>
        </w:rPr>
      </w:pPr>
      <w:r w:rsidRPr="00EE3301">
        <w:rPr>
          <w:rFonts w:ascii="Times New Roman" w:hAnsi="Times New Roman"/>
          <w:sz w:val="28"/>
          <w:szCs w:val="24"/>
        </w:rPr>
        <w:t>Awareness-raising (art. 8)</w:t>
      </w:r>
    </w:p>
    <w:p w:rsidR="00E64FBD" w:rsidRPr="00237D85" w:rsidRDefault="00E64FBD" w:rsidP="00320CC4">
      <w:pPr>
        <w:pStyle w:val="CRPD-Questionstyle"/>
        <w:widowControl w:val="0"/>
        <w:spacing w:line="240" w:lineRule="auto"/>
        <w:rPr>
          <w:lang w:val="en-NZ"/>
        </w:rPr>
      </w:pPr>
      <w:r w:rsidRPr="00237D85">
        <w:rPr>
          <w:lang w:val="en-NZ"/>
        </w:rPr>
        <w:t>8.</w:t>
      </w:r>
      <w:r w:rsidRPr="00237D85">
        <w:rPr>
          <w:lang w:val="en-NZ"/>
        </w:rPr>
        <w:tab/>
      </w:r>
    </w:p>
    <w:p w:rsidR="00E64FBD" w:rsidRPr="00237D85" w:rsidRDefault="00E64FBD" w:rsidP="00320CC4">
      <w:pPr>
        <w:pStyle w:val="CRPD-Questionstyle"/>
        <w:widowControl w:val="0"/>
        <w:spacing w:line="240" w:lineRule="auto"/>
        <w:ind w:firstLine="567"/>
        <w:rPr>
          <w:lang w:val="en-NZ"/>
        </w:rPr>
      </w:pPr>
      <w:r w:rsidRPr="00237D85">
        <w:rPr>
          <w:lang w:val="en-NZ"/>
        </w:rPr>
        <w:t>(a)</w:t>
      </w:r>
      <w:r w:rsidRPr="00237D85">
        <w:rPr>
          <w:lang w:val="en-NZ"/>
        </w:rPr>
        <w:tab/>
        <w:t xml:space="preserve">Measures targeted at public and private actors undertaken to combat stigma, stereotypes, prejudices, negative attitudes, bullying, hate crime, hate speech and discriminatory language against </w:t>
      </w:r>
      <w:r w:rsidRPr="00237D85">
        <w:rPr>
          <w:lang w:val="en-NZ"/>
        </w:rPr>
        <w:lastRenderedPageBreak/>
        <w:t>persons with disabilities, in all spheres of life, including cyberspace;</w:t>
      </w:r>
    </w:p>
    <w:p w:rsidR="00B30395" w:rsidRPr="008B228A" w:rsidRDefault="00B30395" w:rsidP="00320CC4">
      <w:pPr>
        <w:pStyle w:val="CRPD-subsectionheading"/>
        <w:spacing w:line="240" w:lineRule="auto"/>
      </w:pPr>
      <w:r w:rsidRPr="00237D85">
        <w:rPr>
          <w:i/>
        </w:rPr>
        <w:t>Think Differently</w:t>
      </w:r>
      <w:r w:rsidRPr="00237D85">
        <w:t xml:space="preserve"> </w:t>
      </w:r>
      <w:r w:rsidR="00061283" w:rsidRPr="00237D85">
        <w:t>(</w:t>
      </w:r>
      <w:r w:rsidRPr="00237D85">
        <w:t>2010-2015</w:t>
      </w:r>
      <w:r w:rsidR="00061283" w:rsidRPr="00237D85">
        <w:t>)</w:t>
      </w:r>
      <w:r w:rsidR="00961011" w:rsidRPr="00237D85">
        <w:t xml:space="preserve"> </w:t>
      </w:r>
      <w:r w:rsidRPr="00237D85">
        <w:t xml:space="preserve">was a social marketing campaign intended to shift social and cultural norms to reduce exclusion of disabled people. </w:t>
      </w:r>
      <w:r w:rsidR="008F14E6" w:rsidRPr="00237D85">
        <w:t>The campaign</w:t>
      </w:r>
      <w:r w:rsidRPr="00237D85">
        <w:t xml:space="preserve"> aimed </w:t>
      </w:r>
      <w:r w:rsidR="008F14E6" w:rsidRPr="00237D85">
        <w:t>to</w:t>
      </w:r>
      <w:r w:rsidRPr="00237D85">
        <w:t xml:space="preserve"> creat</w:t>
      </w:r>
      <w:r w:rsidR="008F14E6" w:rsidRPr="00237D85">
        <w:t>e</w:t>
      </w:r>
      <w:r w:rsidRPr="00237D85">
        <w:t xml:space="preserve"> conditions that support behaviour change rather than just raising awareness. </w:t>
      </w:r>
      <w:r w:rsidRPr="008B228A">
        <w:t>Evaluations of the campaign showed that</w:t>
      </w:r>
      <w:r w:rsidR="00961011" w:rsidRPr="008B228A">
        <w:t xml:space="preserve"> the</w:t>
      </w:r>
      <w:r w:rsidRPr="008B228A">
        <w:t xml:space="preserve"> intended audiences made</w:t>
      </w:r>
      <w:r w:rsidR="00DD3EE4" w:rsidRPr="008B228A">
        <w:t xml:space="preserve"> a commitment to change and bega</w:t>
      </w:r>
      <w:r w:rsidRPr="008B228A">
        <w:t>n moving from commitment to actual behaviour change.</w:t>
      </w:r>
    </w:p>
    <w:p w:rsidR="00C44870" w:rsidRPr="000E272F" w:rsidRDefault="00C44870" w:rsidP="00320CC4">
      <w:pPr>
        <w:pStyle w:val="CRPD-subsectionheading"/>
        <w:spacing w:line="240" w:lineRule="auto"/>
      </w:pPr>
      <w:r w:rsidRPr="008B228A">
        <w:t xml:space="preserve">The Human Rights Commission is </w:t>
      </w:r>
      <w:r w:rsidR="00E00441" w:rsidRPr="008B228A">
        <w:t>designing</w:t>
      </w:r>
      <w:r w:rsidRPr="008B228A">
        <w:t xml:space="preserve"> a social change programme to decrease stigma, discrimination and stereotypes</w:t>
      </w:r>
      <w:r w:rsidR="00E00441" w:rsidRPr="008B228A">
        <w:t xml:space="preserve"> </w:t>
      </w:r>
      <w:r w:rsidR="00E00441" w:rsidRPr="000E272F">
        <w:t>about disability</w:t>
      </w:r>
      <w:r w:rsidRPr="000E272F">
        <w:t xml:space="preserve">. This programme is funding dependent. </w:t>
      </w:r>
    </w:p>
    <w:p w:rsidR="000E272F" w:rsidRDefault="000E272F" w:rsidP="00320CC4">
      <w:pPr>
        <w:pStyle w:val="CRPD-subsectionheading"/>
        <w:spacing w:line="240" w:lineRule="auto"/>
      </w:pPr>
      <w:r w:rsidRPr="000E272F">
        <w:rPr>
          <w:i/>
        </w:rPr>
        <w:t>Like Minds, Like Mine</w:t>
      </w:r>
      <w:r w:rsidR="00803D65">
        <w:rPr>
          <w:rStyle w:val="FootnoteReference"/>
          <w:i/>
        </w:rPr>
        <w:footnoteReference w:id="83"/>
      </w:r>
      <w:r w:rsidRPr="000E272F">
        <w:t xml:space="preserve"> is a national programme to increase social inclusion and reduce stigma and discrimination for people with experience of mental illness. The programme has been successful at increasing a</w:t>
      </w:r>
      <w:r w:rsidR="0049486A">
        <w:t>wareness and changing attitudes</w:t>
      </w:r>
      <w:r w:rsidRPr="000E272F">
        <w:t xml:space="preserve"> but people still experience discrimination</w:t>
      </w:r>
      <w:r w:rsidR="000E0A56" w:rsidRPr="000E272F">
        <w:rPr>
          <w:rStyle w:val="FootnoteReference"/>
        </w:rPr>
        <w:footnoteReference w:id="84"/>
      </w:r>
      <w:r w:rsidRPr="000E272F">
        <w:t>.</w:t>
      </w:r>
    </w:p>
    <w:p w:rsidR="00362E18" w:rsidRDefault="00362E18" w:rsidP="00320CC4">
      <w:pPr>
        <w:pStyle w:val="CRPD-subsectionheading"/>
        <w:spacing w:line="240" w:lineRule="auto"/>
      </w:pPr>
      <w:r>
        <w:t>T</w:t>
      </w:r>
      <w:r w:rsidRPr="00237D85">
        <w:t xml:space="preserve">he </w:t>
      </w:r>
      <w:r w:rsidRPr="00237D85">
        <w:rPr>
          <w:i/>
        </w:rPr>
        <w:t xml:space="preserve">Disability Confident </w:t>
      </w:r>
      <w:r w:rsidRPr="00237D85">
        <w:t>campaign</w:t>
      </w:r>
      <w:r w:rsidR="00803D65">
        <w:rPr>
          <w:rStyle w:val="FootnoteReference"/>
        </w:rPr>
        <w:footnoteReference w:id="85"/>
      </w:r>
      <w:r>
        <w:t xml:space="preserve"> (</w:t>
      </w:r>
      <w:r w:rsidRPr="00237D85">
        <w:t xml:space="preserve">2016 </w:t>
      </w:r>
      <w:r w:rsidR="00FA33CA">
        <w:t>-</w:t>
      </w:r>
      <w:r w:rsidRPr="00237D85">
        <w:t xml:space="preserve"> 2017</w:t>
      </w:r>
      <w:r>
        <w:t>)</w:t>
      </w:r>
      <w:r w:rsidRPr="00237D85">
        <w:t xml:space="preserve"> promote</w:t>
      </w:r>
      <w:r>
        <w:t>d</w:t>
      </w:r>
      <w:r w:rsidRPr="00237D85">
        <w:t xml:space="preserve"> the benefit</w:t>
      </w:r>
      <w:r>
        <w:t>s of employing disabled people and aimed to change employer attitudes.</w:t>
      </w:r>
    </w:p>
    <w:p w:rsidR="00AA3B66" w:rsidRPr="000E272F" w:rsidRDefault="00AA3B66" w:rsidP="00320CC4">
      <w:pPr>
        <w:pStyle w:val="CRPD-subsectionheading"/>
        <w:spacing w:line="240" w:lineRule="auto"/>
      </w:pPr>
      <w:r>
        <w:t xml:space="preserve">The Government supports </w:t>
      </w:r>
      <w:r w:rsidR="00803D65">
        <w:t>NZSL</w:t>
      </w:r>
      <w:r>
        <w:t xml:space="preserve"> week, which celebrates the language and raises awareness of NZ’s Deaf community.</w:t>
      </w:r>
    </w:p>
    <w:p w:rsidR="00061283" w:rsidRPr="000E0A56" w:rsidRDefault="004544FE" w:rsidP="00320CC4">
      <w:pPr>
        <w:pStyle w:val="CRPD-subsectionheading"/>
        <w:spacing w:line="240" w:lineRule="auto"/>
      </w:pPr>
      <w:r w:rsidRPr="000E0A56">
        <w:t xml:space="preserve">See </w:t>
      </w:r>
      <w:r w:rsidR="00A96E48" w:rsidRPr="000E0A56">
        <w:t xml:space="preserve">question </w:t>
      </w:r>
      <w:r w:rsidR="00822FAA" w:rsidRPr="000E0A56">
        <w:t xml:space="preserve">22(e) </w:t>
      </w:r>
      <w:r w:rsidR="00362E18" w:rsidRPr="000E0A56">
        <w:t xml:space="preserve">for measures to prevent bullying. </w:t>
      </w:r>
    </w:p>
    <w:p w:rsidR="00E64FBD" w:rsidRPr="00237D85" w:rsidRDefault="00E64FBD" w:rsidP="00320CC4">
      <w:pPr>
        <w:pStyle w:val="CRPD-Questionstyle"/>
        <w:widowControl w:val="0"/>
        <w:spacing w:line="240" w:lineRule="auto"/>
        <w:rPr>
          <w:lang w:val="en-NZ"/>
        </w:rPr>
      </w:pPr>
      <w:r w:rsidRPr="00237D85">
        <w:rPr>
          <w:lang w:val="en-NZ"/>
        </w:rPr>
        <w:tab/>
        <w:t>(b)</w:t>
      </w:r>
      <w:r w:rsidRPr="00237D85">
        <w:rPr>
          <w:lang w:val="en-NZ"/>
        </w:rPr>
        <w:tab/>
        <w:t>Involvement of the media in awareness-raising strategies, including campaigns;</w:t>
      </w:r>
    </w:p>
    <w:p w:rsidR="004F5E79" w:rsidRPr="00237D85" w:rsidRDefault="000E272F" w:rsidP="00320CC4">
      <w:pPr>
        <w:pStyle w:val="CRPD-subsectionheading"/>
        <w:spacing w:line="240" w:lineRule="auto"/>
      </w:pPr>
      <w:r>
        <w:t>Media campaigns have</w:t>
      </w:r>
      <w:r w:rsidR="004F5E79" w:rsidRPr="00237D85">
        <w:t xml:space="preserve"> continued to promote the</w:t>
      </w:r>
      <w:r>
        <w:t xml:space="preserve"> </w:t>
      </w:r>
      <w:r w:rsidRPr="000E272F">
        <w:rPr>
          <w:i/>
        </w:rPr>
        <w:t>National Depression Initiative</w:t>
      </w:r>
      <w:r w:rsidR="00803D65">
        <w:rPr>
          <w:rStyle w:val="FootnoteReference"/>
          <w:i/>
        </w:rPr>
        <w:footnoteReference w:id="86"/>
      </w:r>
      <w:r>
        <w:t xml:space="preserve"> and the</w:t>
      </w:r>
      <w:r w:rsidR="004F5E79" w:rsidRPr="00237D85">
        <w:t xml:space="preserve"> </w:t>
      </w:r>
      <w:r w:rsidR="004F5E79" w:rsidRPr="00237D85">
        <w:rPr>
          <w:i/>
        </w:rPr>
        <w:t>Like Minds</w:t>
      </w:r>
      <w:r w:rsidR="00AF1122">
        <w:rPr>
          <w:i/>
        </w:rPr>
        <w:t>,</w:t>
      </w:r>
      <w:r w:rsidR="004F5E79" w:rsidRPr="00237D85">
        <w:rPr>
          <w:i/>
        </w:rPr>
        <w:t xml:space="preserve"> Like Mine</w:t>
      </w:r>
      <w:r w:rsidR="004F5E79" w:rsidRPr="00237D85">
        <w:t xml:space="preserve"> programme to increase social inclusion and reduce stigma and discrimination for people with experience of mental illness. </w:t>
      </w:r>
    </w:p>
    <w:p w:rsidR="003546C8" w:rsidRPr="00237D85" w:rsidRDefault="004F5E79" w:rsidP="00320CC4">
      <w:pPr>
        <w:pStyle w:val="CRPD-subsectionheading"/>
        <w:spacing w:line="240" w:lineRule="auto"/>
      </w:pPr>
      <w:r w:rsidRPr="00237D85">
        <w:lastRenderedPageBreak/>
        <w:t xml:space="preserve">The media published </w:t>
      </w:r>
      <w:r w:rsidRPr="000E0A56">
        <w:t xml:space="preserve">several stories in regional publications on </w:t>
      </w:r>
      <w:r w:rsidR="00362E18" w:rsidRPr="000E0A56">
        <w:t xml:space="preserve">the </w:t>
      </w:r>
      <w:r w:rsidR="00362E18" w:rsidRPr="000E0A56">
        <w:rPr>
          <w:i/>
        </w:rPr>
        <w:t>Disability Confident</w:t>
      </w:r>
      <w:r w:rsidR="00362E18" w:rsidRPr="000E0A56">
        <w:t xml:space="preserve"> campaign </w:t>
      </w:r>
      <w:r w:rsidR="000E0A56" w:rsidRPr="000E0A56">
        <w:t>(see question 8(a</w:t>
      </w:r>
      <w:r w:rsidR="00362E18" w:rsidRPr="000E0A56">
        <w:t>)).</w:t>
      </w:r>
    </w:p>
    <w:p w:rsidR="00E64FBD" w:rsidRPr="00237D85" w:rsidRDefault="00E64FBD" w:rsidP="00320CC4">
      <w:pPr>
        <w:pStyle w:val="CRPD-Questionstyle"/>
        <w:widowControl w:val="0"/>
        <w:spacing w:line="240" w:lineRule="auto"/>
        <w:rPr>
          <w:lang w:val="en-NZ"/>
        </w:rPr>
      </w:pPr>
      <w:r w:rsidRPr="00237D85">
        <w:rPr>
          <w:lang w:val="en-NZ"/>
        </w:rPr>
        <w:tab/>
        <w:t>(c)</w:t>
      </w:r>
      <w:r w:rsidRPr="00237D85">
        <w:rPr>
          <w:lang w:val="en-NZ"/>
        </w:rPr>
        <w:tab/>
        <w:t>Measures taken to promote and sustain a greater understanding that the life of persons with disabilities is of equal value to that of others, and to eradicate and prevent attempts to disseminate ideas that life as a person with disabilities is “not worth living”.</w:t>
      </w:r>
    </w:p>
    <w:p w:rsidR="001962E1" w:rsidRPr="008063C8" w:rsidRDefault="001962E1" w:rsidP="00320CC4">
      <w:pPr>
        <w:pStyle w:val="CRPD-subsectionheading"/>
        <w:spacing w:line="240" w:lineRule="auto"/>
      </w:pPr>
      <w:r w:rsidRPr="00931AED">
        <w:t xml:space="preserve">The </w:t>
      </w:r>
      <w:r w:rsidR="002D21E1" w:rsidRPr="00931AED">
        <w:rPr>
          <w:rStyle w:val="CRPDStateParty-bodyitalicsChar"/>
          <w:noProof w:val="0"/>
        </w:rPr>
        <w:t>Disability</w:t>
      </w:r>
      <w:r w:rsidR="002D21E1" w:rsidRPr="008063C8">
        <w:rPr>
          <w:rStyle w:val="CRPDStateParty-bodyitalicsChar"/>
          <w:noProof w:val="0"/>
        </w:rPr>
        <w:t xml:space="preserve"> Strategy</w:t>
      </w:r>
      <w:r w:rsidRPr="008063C8">
        <w:t xml:space="preserve"> affirms that </w:t>
      </w:r>
      <w:r w:rsidR="002961C4" w:rsidRPr="008063C8">
        <w:t>disabled people’s</w:t>
      </w:r>
      <w:r w:rsidRPr="008063C8">
        <w:t xml:space="preserve"> lives are of equal value to non-disabled people.</w:t>
      </w:r>
      <w:r w:rsidR="001248AE" w:rsidRPr="008063C8">
        <w:t xml:space="preserve"> </w:t>
      </w:r>
    </w:p>
    <w:p w:rsidR="00C207BB" w:rsidRPr="000E0A56" w:rsidRDefault="008063C8" w:rsidP="00320CC4">
      <w:pPr>
        <w:pStyle w:val="CRPD-subsectionheading"/>
        <w:spacing w:line="240" w:lineRule="auto"/>
      </w:pPr>
      <w:r w:rsidRPr="000E0A56">
        <w:t>See question 8(a).</w:t>
      </w:r>
    </w:p>
    <w:p w:rsidR="006F7302" w:rsidRDefault="006F7302" w:rsidP="00320CC4">
      <w:pPr>
        <w:pStyle w:val="CRPD-Questionstyle"/>
        <w:widowControl w:val="0"/>
        <w:spacing w:line="240" w:lineRule="auto"/>
        <w:rPr>
          <w:rFonts w:ascii="Times New Roman" w:hAnsi="Times New Roman"/>
          <w:szCs w:val="24"/>
        </w:rPr>
      </w:pPr>
    </w:p>
    <w:p w:rsidR="00E64FBD" w:rsidRPr="00EE3301" w:rsidRDefault="00E64FBD" w:rsidP="00320CC4">
      <w:pPr>
        <w:pStyle w:val="CRPD-Questionstyle"/>
        <w:widowControl w:val="0"/>
        <w:spacing w:line="240" w:lineRule="auto"/>
        <w:rPr>
          <w:rFonts w:ascii="Times New Roman" w:hAnsi="Times New Roman"/>
          <w:sz w:val="28"/>
          <w:szCs w:val="24"/>
        </w:rPr>
      </w:pPr>
      <w:r w:rsidRPr="00EE3301">
        <w:rPr>
          <w:rFonts w:ascii="Times New Roman" w:hAnsi="Times New Roman"/>
          <w:sz w:val="28"/>
          <w:szCs w:val="24"/>
        </w:rPr>
        <w:t>Accessibility (art. 9)</w:t>
      </w:r>
    </w:p>
    <w:p w:rsidR="00E64FBD" w:rsidRPr="00237D85" w:rsidRDefault="00E64FBD" w:rsidP="00320CC4">
      <w:pPr>
        <w:pStyle w:val="CRPD-Questionstyle"/>
        <w:widowControl w:val="0"/>
        <w:spacing w:line="240" w:lineRule="auto"/>
        <w:rPr>
          <w:lang w:val="en-NZ"/>
        </w:rPr>
      </w:pPr>
      <w:r w:rsidRPr="00237D85">
        <w:rPr>
          <w:lang w:val="en-NZ"/>
        </w:rPr>
        <w:t>9.</w:t>
      </w:r>
      <w:r w:rsidRPr="00237D85">
        <w:rPr>
          <w:lang w:val="en-NZ"/>
        </w:rPr>
        <w:tab/>
      </w:r>
    </w:p>
    <w:p w:rsidR="00E64FBD" w:rsidRPr="00237D85" w:rsidRDefault="00E64FBD" w:rsidP="00320CC4">
      <w:pPr>
        <w:pStyle w:val="CRPD-Questionstyle"/>
        <w:widowControl w:val="0"/>
        <w:spacing w:line="240" w:lineRule="auto"/>
        <w:ind w:firstLine="567"/>
        <w:rPr>
          <w:lang w:val="en-NZ"/>
        </w:rPr>
      </w:pPr>
      <w:r w:rsidRPr="00237D85">
        <w:rPr>
          <w:lang w:val="en-NZ"/>
        </w:rPr>
        <w:t>(a)</w:t>
      </w:r>
      <w:r w:rsidRPr="00237D85">
        <w:rPr>
          <w:lang w:val="en-NZ"/>
        </w:rPr>
        <w:tab/>
        <w:t>Measures taken to ensure that all public buildings are made fully accessible and that such buildings are independently audited and verified;</w:t>
      </w:r>
    </w:p>
    <w:p w:rsidR="00F23A27" w:rsidRDefault="00F23A27" w:rsidP="00320CC4">
      <w:pPr>
        <w:pStyle w:val="CRPD-subsectionheading"/>
        <w:spacing w:line="240" w:lineRule="auto"/>
      </w:pPr>
      <w:r w:rsidRPr="00F23A27">
        <w:rPr>
          <w:i/>
        </w:rPr>
        <w:t>The Building Act 2004</w:t>
      </w:r>
      <w:r>
        <w:t xml:space="preserve"> requires that reasonable and adequate provision is made for disabled people to visit or work in public buildings. It also requires the progressive upgrade of existing buildings. Construction requirements are contained in the </w:t>
      </w:r>
      <w:r w:rsidR="002D21E1">
        <w:rPr>
          <w:i/>
        </w:rPr>
        <w:t>NZ</w:t>
      </w:r>
      <w:r w:rsidRPr="00F23A27">
        <w:rPr>
          <w:i/>
        </w:rPr>
        <w:t xml:space="preserve"> Building Code.  </w:t>
      </w:r>
    </w:p>
    <w:p w:rsidR="00F23A27" w:rsidRDefault="00F44D6E" w:rsidP="00320CC4">
      <w:pPr>
        <w:pStyle w:val="CRPD-subsectionheading"/>
        <w:spacing w:line="240" w:lineRule="auto"/>
      </w:pPr>
      <w:r>
        <w:t xml:space="preserve">Local government territorial authorities </w:t>
      </w:r>
      <w:r w:rsidR="00F23A27">
        <w:t>verif</w:t>
      </w:r>
      <w:r>
        <w:t>y if</w:t>
      </w:r>
      <w:r w:rsidR="00F23A27">
        <w:t xml:space="preserve"> buildings meet requirements for accessibility at the time of construction or alteration. </w:t>
      </w:r>
    </w:p>
    <w:p w:rsidR="00054E53" w:rsidRDefault="00F406ED" w:rsidP="00320CC4">
      <w:pPr>
        <w:pStyle w:val="CRPD-subsectionheading"/>
        <w:spacing w:line="240" w:lineRule="auto"/>
      </w:pPr>
      <w:r>
        <w:t>A guide on designing accessible public buildings ‘Buildings for Everyone’ was developed in collaboration with the disability sector and published in January 2019</w:t>
      </w:r>
      <w:r w:rsidR="00211AA9">
        <w:rPr>
          <w:rStyle w:val="FootnoteReference"/>
        </w:rPr>
        <w:footnoteReference w:id="87"/>
      </w:r>
      <w:r>
        <w:t>.</w:t>
      </w:r>
      <w:r w:rsidR="0049486A">
        <w:t xml:space="preserve"> See introduction.</w:t>
      </w:r>
    </w:p>
    <w:p w:rsidR="00E64FBD" w:rsidRPr="00237D85" w:rsidRDefault="00E64FBD" w:rsidP="00320CC4">
      <w:pPr>
        <w:pStyle w:val="CRPD-Questionstyle"/>
        <w:widowControl w:val="0"/>
        <w:spacing w:line="240" w:lineRule="auto"/>
        <w:ind w:firstLine="567"/>
        <w:rPr>
          <w:lang w:val="en-NZ"/>
        </w:rPr>
      </w:pPr>
      <w:r w:rsidRPr="00237D85">
        <w:rPr>
          <w:lang w:val="en-NZ"/>
        </w:rPr>
        <w:t>(b)</w:t>
      </w:r>
      <w:r w:rsidRPr="00237D85">
        <w:rPr>
          <w:lang w:val="en-NZ"/>
        </w:rPr>
        <w:tab/>
        <w:t>Progress in the implementation of the Building Act 2004 and Building Code for all factories and industrial premises, including those where fewer than 10 people are employed, which are currently exempted under the Act and the Code;</w:t>
      </w:r>
    </w:p>
    <w:p w:rsidR="007920A1" w:rsidRDefault="00D927E2" w:rsidP="00320CC4">
      <w:pPr>
        <w:pStyle w:val="CRPD-subsectionheading"/>
        <w:spacing w:line="240" w:lineRule="auto"/>
      </w:pPr>
      <w:r>
        <w:lastRenderedPageBreak/>
        <w:t xml:space="preserve">There are no plans to amend the </w:t>
      </w:r>
      <w:r w:rsidRPr="00D927E2">
        <w:rPr>
          <w:i/>
          <w:iCs/>
        </w:rPr>
        <w:t>Building Act 2004</w:t>
      </w:r>
      <w:r>
        <w:t xml:space="preserve"> to remove the exemption to comply with accessibility requirements that has been in place since 1975 for small factories and industrial buildings.  </w:t>
      </w:r>
    </w:p>
    <w:p w:rsidR="00E64FBD" w:rsidRPr="00237D85" w:rsidRDefault="00E64FBD" w:rsidP="00320CC4">
      <w:pPr>
        <w:pStyle w:val="CRPD-Questionstyle"/>
        <w:widowControl w:val="0"/>
        <w:spacing w:line="240" w:lineRule="auto"/>
        <w:ind w:firstLine="567"/>
        <w:rPr>
          <w:lang w:val="en-NZ"/>
        </w:rPr>
      </w:pPr>
      <w:r w:rsidRPr="00237D85">
        <w:rPr>
          <w:lang w:val="en-NZ"/>
        </w:rPr>
        <w:t>(c)</w:t>
      </w:r>
      <w:r w:rsidRPr="00237D85">
        <w:rPr>
          <w:lang w:val="en-NZ"/>
        </w:rPr>
        <w:tab/>
        <w:t>Measures taken for the provision of universal access to safe, inclusive, and accessible, green and public spaces for persons with disabilities in line with Goal 11.7 of the Sustainable Development Goals, and considering particular barriers faced by women, children and older persons with disabilities;</w:t>
      </w:r>
    </w:p>
    <w:p w:rsidR="00FE2A08" w:rsidRPr="008D7884" w:rsidRDefault="00FE2A08" w:rsidP="00320CC4">
      <w:pPr>
        <w:pStyle w:val="CRPD-subsectionheading"/>
        <w:spacing w:line="240" w:lineRule="auto"/>
      </w:pPr>
      <w:bookmarkStart w:id="8" w:name="_Hlk512881641"/>
      <w:r>
        <w:t>L</w:t>
      </w:r>
      <w:r w:rsidRPr="00DA3FED">
        <w:t xml:space="preserve">ocal authorities </w:t>
      </w:r>
      <w:r>
        <w:t xml:space="preserve">own </w:t>
      </w:r>
      <w:r w:rsidRPr="008D7884">
        <w:t>or control the majority of public spaces. There is no specific measure to ensure universal access to public spaces for disabled people.</w:t>
      </w:r>
    </w:p>
    <w:p w:rsidR="00FE2A08" w:rsidRPr="008D7884" w:rsidRDefault="00FE2A08" w:rsidP="00320CC4">
      <w:pPr>
        <w:pStyle w:val="CRPD-subsectionheading"/>
        <w:spacing w:line="240" w:lineRule="auto"/>
      </w:pPr>
      <w:r w:rsidRPr="008D7884">
        <w:t>Current regulations and resources for public spaces include:</w:t>
      </w:r>
    </w:p>
    <w:p w:rsidR="00FE2A08" w:rsidRPr="008D7884" w:rsidRDefault="0049486A" w:rsidP="00320CC4">
      <w:pPr>
        <w:pStyle w:val="CRPDStateParty-bullets"/>
        <w:widowControl w:val="0"/>
        <w:spacing w:line="240" w:lineRule="auto"/>
      </w:pPr>
      <w:r>
        <w:rPr>
          <w:i/>
        </w:rPr>
        <w:t>T</w:t>
      </w:r>
      <w:r w:rsidR="00FE2A08" w:rsidRPr="0049486A">
        <w:rPr>
          <w:i/>
        </w:rPr>
        <w:t>he</w:t>
      </w:r>
      <w:r w:rsidR="00FE2A08" w:rsidRPr="008D7884">
        <w:t xml:space="preserve"> </w:t>
      </w:r>
      <w:r w:rsidR="00FE2A08" w:rsidRPr="008D7884">
        <w:rPr>
          <w:i/>
        </w:rPr>
        <w:t>Local Government Act 2002</w:t>
      </w:r>
      <w:r>
        <w:rPr>
          <w:i/>
        </w:rPr>
        <w:t>,</w:t>
      </w:r>
      <w:r w:rsidR="00FE2A08" w:rsidRPr="008D7884">
        <w:t xml:space="preserve"> </w:t>
      </w:r>
      <w:r w:rsidR="00DD69F4">
        <w:t xml:space="preserve">which </w:t>
      </w:r>
      <w:r w:rsidR="00FE2A08" w:rsidRPr="008D7884">
        <w:t>provides guidance on measures to provide safe access to public spaces (including libraries, museums, reserves, and other recreational facil</w:t>
      </w:r>
      <w:r w:rsidR="00D631E6">
        <w:t>ities and community amenities)</w:t>
      </w:r>
    </w:p>
    <w:p w:rsidR="00FE2A08" w:rsidRPr="008D7884" w:rsidRDefault="0049486A" w:rsidP="00320CC4">
      <w:pPr>
        <w:pStyle w:val="CRPDStateParty-bullets"/>
        <w:widowControl w:val="0"/>
        <w:spacing w:line="240" w:lineRule="auto"/>
      </w:pPr>
      <w:r>
        <w:rPr>
          <w:i/>
        </w:rPr>
        <w:t>T</w:t>
      </w:r>
      <w:r w:rsidR="00FE2A08" w:rsidRPr="0049486A">
        <w:rPr>
          <w:i/>
        </w:rPr>
        <w:t>he</w:t>
      </w:r>
      <w:r w:rsidR="00FE2A08" w:rsidRPr="008D7884">
        <w:t xml:space="preserve"> </w:t>
      </w:r>
      <w:r w:rsidR="00FE2A08" w:rsidRPr="008D7884">
        <w:rPr>
          <w:i/>
        </w:rPr>
        <w:t>Resource Management Act 1991</w:t>
      </w:r>
      <w:r>
        <w:rPr>
          <w:i/>
        </w:rPr>
        <w:t>,</w:t>
      </w:r>
      <w:r w:rsidR="00FE2A08" w:rsidRPr="008D7884">
        <w:t xml:space="preserve"> </w:t>
      </w:r>
      <w:r w:rsidR="00DD69F4">
        <w:t xml:space="preserve">which </w:t>
      </w:r>
      <w:r w:rsidR="00FE2A08" w:rsidRPr="008D7884">
        <w:t xml:space="preserve">provides that proposed works in the environment (including public spaces) will need to be compliant with the </w:t>
      </w:r>
      <w:r w:rsidR="00FE2A08" w:rsidRPr="008D7884">
        <w:rPr>
          <w:i/>
        </w:rPr>
        <w:t>Building Act 2004</w:t>
      </w:r>
      <w:r w:rsidR="00FE2A08" w:rsidRPr="008D7884">
        <w:t xml:space="preserve"> and the </w:t>
      </w:r>
      <w:r w:rsidR="00FE2A08" w:rsidRPr="008D7884">
        <w:rPr>
          <w:i/>
        </w:rPr>
        <w:t>Local Government Act 2002</w:t>
      </w:r>
      <w:r w:rsidR="00FE2A08" w:rsidRPr="008D7884">
        <w:t xml:space="preserve"> </w:t>
      </w:r>
    </w:p>
    <w:p w:rsidR="00FE2A08" w:rsidRDefault="0049486A" w:rsidP="00320CC4">
      <w:pPr>
        <w:pStyle w:val="CRPDStateParty-bullets"/>
        <w:widowControl w:val="0"/>
        <w:spacing w:line="240" w:lineRule="auto"/>
      </w:pPr>
      <w:r>
        <w:rPr>
          <w:i/>
        </w:rPr>
        <w:t>T</w:t>
      </w:r>
      <w:r w:rsidR="00FE2A08" w:rsidRPr="0049486A">
        <w:rPr>
          <w:i/>
        </w:rPr>
        <w:t xml:space="preserve">he </w:t>
      </w:r>
      <w:r w:rsidR="002D21E1" w:rsidRPr="0049486A">
        <w:rPr>
          <w:i/>
        </w:rPr>
        <w:t>NZ</w:t>
      </w:r>
      <w:r w:rsidR="00FE2A08">
        <w:rPr>
          <w:i/>
        </w:rPr>
        <w:t xml:space="preserve"> </w:t>
      </w:r>
      <w:r w:rsidR="00FE2A08" w:rsidRPr="001821D0">
        <w:rPr>
          <w:i/>
        </w:rPr>
        <w:t>Urban Design Protocol</w:t>
      </w:r>
      <w:r w:rsidR="00FE2A08" w:rsidRPr="00913F17">
        <w:rPr>
          <w:rStyle w:val="FootnoteReference"/>
        </w:rPr>
        <w:footnoteReference w:id="88"/>
      </w:r>
      <w:r>
        <w:rPr>
          <w:i/>
        </w:rPr>
        <w:t>,</w:t>
      </w:r>
      <w:r w:rsidR="00FE2A08" w:rsidRPr="00913F17">
        <w:t xml:space="preserve"> </w:t>
      </w:r>
      <w:r w:rsidR="00D631E6">
        <w:t xml:space="preserve">which </w:t>
      </w:r>
      <w:r w:rsidR="00FE2A08">
        <w:t>outlines that quality urban design ensures public spaces are accessible by every</w:t>
      </w:r>
      <w:r w:rsidR="00D631E6">
        <w:t>body, including disabled people</w:t>
      </w:r>
      <w:r w:rsidR="00FE2A08">
        <w:t xml:space="preserve"> </w:t>
      </w:r>
    </w:p>
    <w:p w:rsidR="00FE2A08" w:rsidRPr="00016418" w:rsidRDefault="0049486A" w:rsidP="00320CC4">
      <w:pPr>
        <w:pStyle w:val="CRPDStateParty-bullets"/>
        <w:widowControl w:val="0"/>
        <w:spacing w:line="240" w:lineRule="auto"/>
      </w:pPr>
      <w:r>
        <w:rPr>
          <w:rStyle w:val="CRPDStateParty-bodyitalicsChar"/>
          <w:noProof w:val="0"/>
        </w:rPr>
        <w:t>T</w:t>
      </w:r>
      <w:r w:rsidR="00FE2A08" w:rsidRPr="0049486A">
        <w:rPr>
          <w:rStyle w:val="CRPDStateParty-bodyitalicsChar"/>
          <w:noProof w:val="0"/>
        </w:rPr>
        <w:t>he</w:t>
      </w:r>
      <w:r>
        <w:rPr>
          <w:rStyle w:val="CRPDStateParty-bodyitalicsChar"/>
          <w:noProof w:val="0"/>
        </w:rPr>
        <w:t xml:space="preserve"> Guidelines for F</w:t>
      </w:r>
      <w:r w:rsidR="00FE2A08" w:rsidRPr="00016418">
        <w:rPr>
          <w:rStyle w:val="CRPDStateParty-bodyitalicsChar"/>
          <w:noProof w:val="0"/>
        </w:rPr>
        <w:t xml:space="preserve">acilities for </w:t>
      </w:r>
      <w:r>
        <w:rPr>
          <w:rStyle w:val="CRPDStateParty-bodyitalicsChar"/>
          <w:noProof w:val="0"/>
        </w:rPr>
        <w:t>B</w:t>
      </w:r>
      <w:r w:rsidR="00FE2A08" w:rsidRPr="00016418">
        <w:rPr>
          <w:rStyle w:val="CRPDStateParty-bodyitalicsChar"/>
          <w:noProof w:val="0"/>
        </w:rPr>
        <w:t xml:space="preserve">lind and </w:t>
      </w:r>
      <w:r>
        <w:rPr>
          <w:rStyle w:val="CRPDStateParty-bodyitalicsChar"/>
          <w:noProof w:val="0"/>
        </w:rPr>
        <w:t>Vision I</w:t>
      </w:r>
      <w:r w:rsidR="00FE2A08" w:rsidRPr="00016418">
        <w:rPr>
          <w:rStyle w:val="CRPDStateParty-bodyitalicsChar"/>
          <w:noProof w:val="0"/>
        </w:rPr>
        <w:t xml:space="preserve">mpaired </w:t>
      </w:r>
      <w:r>
        <w:rPr>
          <w:rStyle w:val="CRPDStateParty-bodyitalicsChar"/>
          <w:noProof w:val="0"/>
        </w:rPr>
        <w:t>P</w:t>
      </w:r>
      <w:r w:rsidRPr="00007D60">
        <w:rPr>
          <w:rStyle w:val="CRPDStateParty-bodyitalicsChar"/>
          <w:noProof w:val="0"/>
        </w:rPr>
        <w:t>edestrians</w:t>
      </w:r>
      <w:r w:rsidRPr="00016418">
        <w:t>, which</w:t>
      </w:r>
      <w:r w:rsidR="00913F17">
        <w:t xml:space="preserve"> </w:t>
      </w:r>
      <w:r w:rsidR="00FE2A08" w:rsidRPr="00016418">
        <w:t>provide</w:t>
      </w:r>
      <w:r w:rsidR="00913F17">
        <w:t>s</w:t>
      </w:r>
      <w:r w:rsidR="00FE2A08" w:rsidRPr="00016418">
        <w:t xml:space="preserve"> best practice design and installation principles for pedestrian facilities that assist people who are blind or have low vision or mobility impairments</w:t>
      </w:r>
      <w:r w:rsidR="00FE2A08" w:rsidRPr="00016418">
        <w:rPr>
          <w:rStyle w:val="FootnoteReference"/>
        </w:rPr>
        <w:footnoteReference w:id="89"/>
      </w:r>
      <w:r w:rsidR="00FE2A08" w:rsidRPr="00016418">
        <w:t>.</w:t>
      </w:r>
      <w:r w:rsidR="00FE2A08">
        <w:t xml:space="preserve"> The guidelines </w:t>
      </w:r>
      <w:r w:rsidR="00FE2A08" w:rsidRPr="00007D60">
        <w:t>were updated</w:t>
      </w:r>
      <w:r w:rsidR="00FE2A08">
        <w:rPr>
          <w:i/>
        </w:rPr>
        <w:t xml:space="preserve"> </w:t>
      </w:r>
      <w:r w:rsidR="00FE2A08">
        <w:t xml:space="preserve">in 2015 and reviewed by the </w:t>
      </w:r>
      <w:r w:rsidR="002D21E1">
        <w:t>NZ</w:t>
      </w:r>
      <w:r w:rsidR="00D631E6">
        <w:t xml:space="preserve"> Transport Agency in 2018</w:t>
      </w:r>
    </w:p>
    <w:p w:rsidR="00FE2A08" w:rsidRDefault="0049486A" w:rsidP="00320CC4">
      <w:pPr>
        <w:pStyle w:val="CRPDStateParty-bullets"/>
        <w:widowControl w:val="0"/>
        <w:spacing w:line="240" w:lineRule="auto"/>
      </w:pPr>
      <w:r w:rsidRPr="0049486A">
        <w:rPr>
          <w:i/>
        </w:rPr>
        <w:t>T</w:t>
      </w:r>
      <w:r w:rsidR="00FE2A08" w:rsidRPr="0049486A">
        <w:rPr>
          <w:i/>
        </w:rPr>
        <w:t>he</w:t>
      </w:r>
      <w:r w:rsidR="00FE2A08" w:rsidRPr="00FE2A08">
        <w:t xml:space="preserve"> </w:t>
      </w:r>
      <w:r w:rsidR="00FE2A08" w:rsidRPr="00FE2A08">
        <w:rPr>
          <w:i/>
        </w:rPr>
        <w:t>Pede</w:t>
      </w:r>
      <w:r w:rsidR="00FE2A08">
        <w:rPr>
          <w:i/>
        </w:rPr>
        <w:t>strian Planning and Design Guide</w:t>
      </w:r>
      <w:r w:rsidR="00FE2A08" w:rsidRPr="00FE2A08">
        <w:rPr>
          <w:vertAlign w:val="superscript"/>
        </w:rPr>
        <w:footnoteReference w:id="90"/>
      </w:r>
      <w:r>
        <w:rPr>
          <w:i/>
        </w:rPr>
        <w:t>,</w:t>
      </w:r>
      <w:r w:rsidR="00FE2A08" w:rsidRPr="00FE2A08">
        <w:rPr>
          <w:i/>
        </w:rPr>
        <w:t xml:space="preserve"> </w:t>
      </w:r>
      <w:r w:rsidR="00913F17">
        <w:t xml:space="preserve">which </w:t>
      </w:r>
      <w:r w:rsidR="00D631E6">
        <w:t>provide</w:t>
      </w:r>
      <w:r w:rsidR="00913F17">
        <w:t>s</w:t>
      </w:r>
      <w:r w:rsidR="00FE2A08" w:rsidRPr="00FE2A08">
        <w:t xml:space="preserve"> guidance and best practice examples for the walking environment for all users, including</w:t>
      </w:r>
      <w:r w:rsidR="00913F17">
        <w:t xml:space="preserve"> those with</w:t>
      </w:r>
      <w:r w:rsidR="00FE2A08" w:rsidRPr="00FE2A08">
        <w:t xml:space="preserve"> mobility impair</w:t>
      </w:r>
      <w:r w:rsidR="00913F17">
        <w:t>ments</w:t>
      </w:r>
      <w:r w:rsidR="00FE2A08" w:rsidRPr="00FE2A08">
        <w:t xml:space="preserve">. The </w:t>
      </w:r>
      <w:r w:rsidR="00FE2A08" w:rsidRPr="00913F17">
        <w:t>guide</w:t>
      </w:r>
      <w:r w:rsidR="00FE2A08" w:rsidRPr="00FE2A08">
        <w:t xml:space="preserve"> was reviewed in 2018 and will be updated in 2019</w:t>
      </w:r>
      <w:r w:rsidR="005849A7">
        <w:t>/2020</w:t>
      </w:r>
      <w:r w:rsidR="00913F17">
        <w:t xml:space="preserve"> to include</w:t>
      </w:r>
      <w:r w:rsidR="00FE2A08" w:rsidRPr="00FE2A08">
        <w:t xml:space="preserve"> an updated pedestrian training course </w:t>
      </w:r>
      <w:r w:rsidR="00913F17">
        <w:t>for</w:t>
      </w:r>
      <w:r w:rsidR="00FE2A08" w:rsidRPr="00FE2A08">
        <w:t xml:space="preserve"> the transport </w:t>
      </w:r>
      <w:r w:rsidR="00FE2A08" w:rsidRPr="00FE2A08">
        <w:lastRenderedPageBreak/>
        <w:t>sector.</w:t>
      </w:r>
    </w:p>
    <w:bookmarkEnd w:id="8"/>
    <w:p w:rsidR="00E64FBD" w:rsidRPr="00237D85" w:rsidRDefault="00913F17" w:rsidP="00320CC4">
      <w:pPr>
        <w:pStyle w:val="CRPD-Questionstyle"/>
        <w:widowControl w:val="0"/>
        <w:spacing w:line="240" w:lineRule="auto"/>
        <w:ind w:left="1170" w:firstLine="531"/>
        <w:rPr>
          <w:lang w:val="en-NZ"/>
        </w:rPr>
      </w:pPr>
      <w:r w:rsidRPr="00237D85">
        <w:rPr>
          <w:lang w:val="en-NZ"/>
        </w:rPr>
        <w:t xml:space="preserve"> </w:t>
      </w:r>
      <w:r w:rsidR="00E64FBD" w:rsidRPr="00237D85">
        <w:rPr>
          <w:lang w:val="en-NZ"/>
        </w:rPr>
        <w:t>(d)</w:t>
      </w:r>
      <w:r w:rsidR="00E64FBD" w:rsidRPr="00237D85">
        <w:rPr>
          <w:lang w:val="en-NZ"/>
        </w:rPr>
        <w:tab/>
        <w:t xml:space="preserve">Steps to ensure that the wide application of the concept of universal design is endorsed by authorities at all levels of public service provision; </w:t>
      </w:r>
    </w:p>
    <w:p w:rsidR="00972157" w:rsidRDefault="00972157" w:rsidP="00320CC4">
      <w:pPr>
        <w:pStyle w:val="CRPD-subsectionheading"/>
        <w:spacing w:line="240" w:lineRule="auto"/>
      </w:pPr>
      <w:r w:rsidRPr="00237D85">
        <w:t xml:space="preserve">The </w:t>
      </w:r>
      <w:r w:rsidR="002D21E1">
        <w:rPr>
          <w:rStyle w:val="CRPDStateParty-bodyitalicsChar"/>
          <w:noProof w:val="0"/>
        </w:rPr>
        <w:t>Disability Strategy</w:t>
      </w:r>
      <w:r w:rsidRPr="00237D85">
        <w:t xml:space="preserve"> promotes universal design as an approach to implementing the Strategy</w:t>
      </w:r>
      <w:r w:rsidR="00597344">
        <w:t>.</w:t>
      </w:r>
    </w:p>
    <w:p w:rsidR="00E17D7D" w:rsidRDefault="00E17D7D" w:rsidP="00320CC4">
      <w:pPr>
        <w:pStyle w:val="CRPD-subsectionheading"/>
        <w:spacing w:line="240" w:lineRule="auto"/>
      </w:pPr>
      <w:r>
        <w:t xml:space="preserve">The </w:t>
      </w:r>
      <w:r w:rsidRPr="00E17D7D">
        <w:t xml:space="preserve">Minister </w:t>
      </w:r>
      <w:r w:rsidR="00AA3B66">
        <w:t>for H</w:t>
      </w:r>
      <w:r w:rsidR="00513F5A">
        <w:t xml:space="preserve">ousing and </w:t>
      </w:r>
      <w:r w:rsidR="00AA3B66">
        <w:t>U</w:t>
      </w:r>
      <w:r w:rsidRPr="00E17D7D">
        <w:t>rba</w:t>
      </w:r>
      <w:r w:rsidR="00AA3B66">
        <w:t>n Development and T</w:t>
      </w:r>
      <w:r w:rsidRPr="00E17D7D">
        <w:t>ransport</w:t>
      </w:r>
      <w:r w:rsidR="0049486A">
        <w:rPr>
          <w:rStyle w:val="FootnoteReference"/>
        </w:rPr>
        <w:footnoteReference w:id="91"/>
      </w:r>
      <w:r w:rsidRPr="00E17D7D">
        <w:t xml:space="preserve"> has made a number of statements i</w:t>
      </w:r>
      <w:r>
        <w:t>n support of universal design in these areas.</w:t>
      </w:r>
      <w:r w:rsidRPr="00E17D7D">
        <w:t xml:space="preserve"> </w:t>
      </w:r>
    </w:p>
    <w:p w:rsidR="00A26EB9" w:rsidRPr="00237D85" w:rsidRDefault="004544FE" w:rsidP="00320CC4">
      <w:pPr>
        <w:pStyle w:val="CRPD-subsectionheading"/>
        <w:spacing w:line="240" w:lineRule="auto"/>
      </w:pPr>
      <w:r>
        <w:t>E</w:t>
      </w:r>
      <w:r w:rsidRPr="00237D85">
        <w:t>xamples of</w:t>
      </w:r>
      <w:r>
        <w:t xml:space="preserve"> </w:t>
      </w:r>
      <w:r w:rsidRPr="00DA3FED">
        <w:t xml:space="preserve">government </w:t>
      </w:r>
      <w:r>
        <w:t xml:space="preserve">applying </w:t>
      </w:r>
      <w:r w:rsidRPr="00237D85">
        <w:t>universal design principles include:</w:t>
      </w:r>
    </w:p>
    <w:p w:rsidR="00031B26" w:rsidRPr="00031B26" w:rsidRDefault="00031B26" w:rsidP="00320CC4">
      <w:pPr>
        <w:pStyle w:val="CRPDStateParty-bullets"/>
        <w:spacing w:line="240" w:lineRule="auto"/>
        <w:rPr>
          <w:lang w:val="en-NZ"/>
        </w:rPr>
      </w:pPr>
      <w:r>
        <w:rPr>
          <w:lang w:val="en-NZ"/>
        </w:rPr>
        <w:t>t</w:t>
      </w:r>
      <w:r w:rsidRPr="00031B26">
        <w:rPr>
          <w:lang w:val="en-NZ"/>
        </w:rPr>
        <w:t xml:space="preserve">he </w:t>
      </w:r>
      <w:r w:rsidRPr="00031B26">
        <w:rPr>
          <w:i/>
          <w:lang w:val="en-NZ"/>
        </w:rPr>
        <w:t>Building Act 2004</w:t>
      </w:r>
      <w:r w:rsidRPr="00031B26">
        <w:rPr>
          <w:lang w:val="en-NZ"/>
        </w:rPr>
        <w:t xml:space="preserve"> which requires that reasonable and adequate provision is made for disabled people to visit or work in public buildings</w:t>
      </w:r>
    </w:p>
    <w:p w:rsidR="0059561D" w:rsidRDefault="00913F17" w:rsidP="00320CC4">
      <w:pPr>
        <w:pStyle w:val="CRPDStateParty-bullets"/>
        <w:spacing w:line="240" w:lineRule="auto"/>
        <w:rPr>
          <w:lang w:val="en-NZ"/>
        </w:rPr>
      </w:pPr>
      <w:r w:rsidRPr="0083614F">
        <w:t>universal</w:t>
      </w:r>
      <w:r w:rsidRPr="00425985">
        <w:rPr>
          <w:lang w:val="en-NZ"/>
        </w:rPr>
        <w:t xml:space="preserve"> </w:t>
      </w:r>
      <w:r w:rsidR="00E67C52">
        <w:rPr>
          <w:lang w:val="en-NZ"/>
        </w:rPr>
        <w:t xml:space="preserve">design principles </w:t>
      </w:r>
      <w:r w:rsidR="003546C8" w:rsidRPr="00425985">
        <w:rPr>
          <w:lang w:val="en-NZ"/>
        </w:rPr>
        <w:t>form</w:t>
      </w:r>
      <w:r w:rsidR="00A26EB9" w:rsidRPr="00425985">
        <w:rPr>
          <w:lang w:val="en-NZ"/>
        </w:rPr>
        <w:t>ing</w:t>
      </w:r>
      <w:r w:rsidR="003546C8" w:rsidRPr="00425985">
        <w:rPr>
          <w:lang w:val="en-NZ"/>
        </w:rPr>
        <w:t xml:space="preserve"> part of the standards for H</w:t>
      </w:r>
      <w:r w:rsidR="00A26EB9" w:rsidRPr="00425985">
        <w:rPr>
          <w:lang w:val="en-NZ"/>
        </w:rPr>
        <w:t xml:space="preserve">ousing </w:t>
      </w:r>
      <w:r w:rsidR="003546C8" w:rsidRPr="00425985">
        <w:rPr>
          <w:lang w:val="en-NZ"/>
        </w:rPr>
        <w:t>N</w:t>
      </w:r>
      <w:r w:rsidR="00EB0C22" w:rsidRPr="00425985">
        <w:rPr>
          <w:lang w:val="en-NZ"/>
        </w:rPr>
        <w:t>Z Corporation</w:t>
      </w:r>
      <w:r w:rsidR="00EB0C22" w:rsidRPr="00425985">
        <w:rPr>
          <w:rStyle w:val="FootnoteReference"/>
          <w:lang w:val="en-NZ"/>
        </w:rPr>
        <w:footnoteReference w:id="92"/>
      </w:r>
      <w:r w:rsidR="003546C8" w:rsidRPr="00425985">
        <w:rPr>
          <w:lang w:val="en-NZ"/>
        </w:rPr>
        <w:t xml:space="preserve"> new build</w:t>
      </w:r>
      <w:r w:rsidR="00FA65A9" w:rsidRPr="00425985">
        <w:rPr>
          <w:lang w:val="en-NZ"/>
        </w:rPr>
        <w:t>s</w:t>
      </w:r>
    </w:p>
    <w:p w:rsidR="0083614F" w:rsidRDefault="0083614F" w:rsidP="00320CC4">
      <w:pPr>
        <w:pStyle w:val="CRPDStateParty-bullets"/>
        <w:spacing w:line="240" w:lineRule="auto"/>
      </w:pPr>
      <w:r w:rsidRPr="0083614F">
        <w:t>the Government is working to build 100,000 affordable homes for first homebuyers over the next decade through its KiwiBuild programme</w:t>
      </w:r>
      <w:r w:rsidR="00B41504">
        <w:rPr>
          <w:rStyle w:val="FootnoteReference"/>
        </w:rPr>
        <w:footnoteReference w:id="93"/>
      </w:r>
      <w:r w:rsidRPr="0083614F">
        <w:t>. As part of its wider housing programme, Government will be looking at how KiwiBuild can support the various needs of a diverse range of households, including disabled people. Universal design features will be one of the aspects considered as the programme scales-up over time.</w:t>
      </w:r>
    </w:p>
    <w:p w:rsidR="00513F5A" w:rsidRPr="00994C4F" w:rsidRDefault="00513F5A" w:rsidP="00320CC4">
      <w:pPr>
        <w:pStyle w:val="CRPD-subsectionheading"/>
        <w:spacing w:line="240" w:lineRule="auto"/>
      </w:pPr>
      <w:r w:rsidRPr="00994C4F">
        <w:t>Cabinet has also agreed to “commence the design of an approach to achieve a fully accessible NZ, in collaboration with stakeholders”.</w:t>
      </w:r>
    </w:p>
    <w:p w:rsidR="00E64FBD" w:rsidRPr="00237D85" w:rsidRDefault="00E64FBD" w:rsidP="00320CC4">
      <w:pPr>
        <w:pStyle w:val="CRPD-Questionstyle"/>
        <w:widowControl w:val="0"/>
        <w:spacing w:line="240" w:lineRule="auto"/>
        <w:ind w:firstLine="360"/>
        <w:rPr>
          <w:lang w:val="en-NZ"/>
        </w:rPr>
      </w:pPr>
      <w:r w:rsidRPr="00237D85">
        <w:rPr>
          <w:lang w:val="en-NZ"/>
        </w:rPr>
        <w:t>(e)</w:t>
      </w:r>
      <w:r w:rsidRPr="00237D85">
        <w:rPr>
          <w:lang w:val="en-NZ"/>
        </w:rPr>
        <w:tab/>
        <w:t xml:space="preserve">The number of wheelchair-accessible buses and taxis; </w:t>
      </w:r>
    </w:p>
    <w:p w:rsidR="00C47586" w:rsidRPr="00922AFF" w:rsidRDefault="00C47586" w:rsidP="00320CC4">
      <w:pPr>
        <w:pStyle w:val="CRPD-Questionstyle"/>
        <w:spacing w:line="240" w:lineRule="auto"/>
      </w:pPr>
      <w:bookmarkStart w:id="9" w:name="_Hlk535487850"/>
      <w:r w:rsidRPr="00922AFF">
        <w:t xml:space="preserve">Table: Number </w:t>
      </w:r>
      <w:r w:rsidR="00DF1D96">
        <w:t>of taxis with wheelchair hoists</w:t>
      </w:r>
      <w:r w:rsidR="00FA33CA" w:rsidRPr="00237D85">
        <w:rPr>
          <w:rStyle w:val="FootnoteReference"/>
        </w:rPr>
        <w:footnoteReference w:id="94"/>
      </w:r>
    </w:p>
    <w:tbl>
      <w:tblPr>
        <w:tblStyle w:val="TableGridLight1"/>
        <w:tblpPr w:leftFromText="180" w:rightFromText="180" w:vertAnchor="text" w:horzAnchor="page" w:tblpX="2302" w:tblpY="58"/>
        <w:tblW w:w="8134" w:type="dxa"/>
        <w:tblLook w:val="04A0" w:firstRow="1" w:lastRow="0" w:firstColumn="1" w:lastColumn="0" w:noHBand="0" w:noVBand="1"/>
      </w:tblPr>
      <w:tblGrid>
        <w:gridCol w:w="3639"/>
        <w:gridCol w:w="899"/>
        <w:gridCol w:w="899"/>
        <w:gridCol w:w="899"/>
        <w:gridCol w:w="899"/>
        <w:gridCol w:w="899"/>
      </w:tblGrid>
      <w:tr w:rsidR="00922AFF" w:rsidRPr="00DF1D96" w:rsidTr="001F434B">
        <w:trPr>
          <w:trHeight w:val="781"/>
        </w:trPr>
        <w:tc>
          <w:tcPr>
            <w:tcW w:w="3639" w:type="dxa"/>
          </w:tcPr>
          <w:p w:rsidR="00922AFF" w:rsidRPr="00DF1D96" w:rsidRDefault="00922AFF" w:rsidP="00320CC4">
            <w:pPr>
              <w:widowControl w:val="0"/>
              <w:suppressAutoHyphens w:val="0"/>
              <w:spacing w:before="144" w:after="144" w:line="240" w:lineRule="auto"/>
              <w:jc w:val="both"/>
              <w:rPr>
                <w:rFonts w:ascii="Verdana" w:hAnsi="Verdana" w:cstheme="minorBidi"/>
                <w:b/>
                <w:sz w:val="24"/>
              </w:rPr>
            </w:pPr>
            <w:bookmarkStart w:id="10" w:name="_Hlk535487062"/>
            <w:r w:rsidRPr="00DF1D96">
              <w:rPr>
                <w:rFonts w:ascii="Verdana" w:hAnsi="Verdana" w:cstheme="minorBidi"/>
                <w:b/>
                <w:sz w:val="24"/>
              </w:rPr>
              <w:lastRenderedPageBreak/>
              <w:t>Year ending June</w:t>
            </w:r>
          </w:p>
        </w:tc>
        <w:tc>
          <w:tcPr>
            <w:tcW w:w="0" w:type="auto"/>
          </w:tcPr>
          <w:p w:rsidR="00922AFF" w:rsidRPr="00DF1D96" w:rsidRDefault="00922AFF"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2014</w:t>
            </w:r>
          </w:p>
        </w:tc>
        <w:tc>
          <w:tcPr>
            <w:tcW w:w="0" w:type="auto"/>
          </w:tcPr>
          <w:p w:rsidR="00922AFF" w:rsidRPr="00DF1D96" w:rsidRDefault="00922AFF"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2015</w:t>
            </w:r>
          </w:p>
        </w:tc>
        <w:tc>
          <w:tcPr>
            <w:tcW w:w="0" w:type="auto"/>
          </w:tcPr>
          <w:p w:rsidR="00922AFF" w:rsidRPr="00DF1D96" w:rsidRDefault="00922AFF"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2016</w:t>
            </w:r>
          </w:p>
        </w:tc>
        <w:tc>
          <w:tcPr>
            <w:tcW w:w="0" w:type="auto"/>
          </w:tcPr>
          <w:p w:rsidR="00922AFF" w:rsidRPr="00DF1D96" w:rsidRDefault="00922AFF"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2017</w:t>
            </w:r>
          </w:p>
        </w:tc>
        <w:tc>
          <w:tcPr>
            <w:tcW w:w="0" w:type="auto"/>
          </w:tcPr>
          <w:p w:rsidR="00922AFF" w:rsidRPr="00DF1D96" w:rsidRDefault="00922AFF"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2018</w:t>
            </w:r>
          </w:p>
        </w:tc>
      </w:tr>
      <w:tr w:rsidR="00922AFF" w:rsidRPr="00DF1D96" w:rsidTr="001F434B">
        <w:trPr>
          <w:trHeight w:val="399"/>
        </w:trPr>
        <w:tc>
          <w:tcPr>
            <w:tcW w:w="3639" w:type="dxa"/>
          </w:tcPr>
          <w:p w:rsidR="00922AFF" w:rsidRPr="00DF1D96" w:rsidRDefault="00922AFF"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Number</w:t>
            </w:r>
            <w:r w:rsidR="00913F17" w:rsidRPr="00DF1D96">
              <w:rPr>
                <w:rFonts w:ascii="Verdana" w:hAnsi="Verdana" w:cstheme="minorBidi"/>
                <w:sz w:val="24"/>
              </w:rPr>
              <w:t xml:space="preserve"> of taxis with wheelchair hoists</w:t>
            </w:r>
          </w:p>
        </w:tc>
        <w:tc>
          <w:tcPr>
            <w:tcW w:w="0" w:type="auto"/>
          </w:tcPr>
          <w:p w:rsidR="00922AFF" w:rsidRPr="00DF1D96" w:rsidRDefault="00922AFF"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317</w:t>
            </w:r>
          </w:p>
        </w:tc>
        <w:tc>
          <w:tcPr>
            <w:tcW w:w="0" w:type="auto"/>
          </w:tcPr>
          <w:p w:rsidR="00922AFF" w:rsidRPr="00DF1D96" w:rsidRDefault="00922AFF"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326</w:t>
            </w:r>
          </w:p>
        </w:tc>
        <w:tc>
          <w:tcPr>
            <w:tcW w:w="0" w:type="auto"/>
          </w:tcPr>
          <w:p w:rsidR="00922AFF" w:rsidRPr="00DF1D96" w:rsidRDefault="00922AFF"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383</w:t>
            </w:r>
          </w:p>
        </w:tc>
        <w:tc>
          <w:tcPr>
            <w:tcW w:w="0" w:type="auto"/>
          </w:tcPr>
          <w:p w:rsidR="00922AFF" w:rsidRPr="00DF1D96" w:rsidRDefault="00922AFF"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435</w:t>
            </w:r>
          </w:p>
        </w:tc>
        <w:tc>
          <w:tcPr>
            <w:tcW w:w="0" w:type="auto"/>
          </w:tcPr>
          <w:p w:rsidR="00922AFF" w:rsidRPr="00DF1D96" w:rsidRDefault="005849A7"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345</w:t>
            </w:r>
          </w:p>
        </w:tc>
      </w:tr>
      <w:bookmarkEnd w:id="10"/>
    </w:tbl>
    <w:p w:rsidR="00922AFF" w:rsidRPr="007C3EAB" w:rsidRDefault="00922AFF" w:rsidP="00320CC4">
      <w:pPr>
        <w:pStyle w:val="CRPD-subsectionheading"/>
        <w:numPr>
          <w:ilvl w:val="0"/>
          <w:numId w:val="0"/>
        </w:numPr>
        <w:spacing w:line="240" w:lineRule="auto"/>
        <w:ind w:left="1170"/>
      </w:pPr>
    </w:p>
    <w:bookmarkEnd w:id="9"/>
    <w:p w:rsidR="00FA33CA" w:rsidRDefault="00FA33CA" w:rsidP="00320CC4">
      <w:pPr>
        <w:pStyle w:val="CRPD-Questionstyle"/>
        <w:spacing w:line="240" w:lineRule="auto"/>
      </w:pPr>
    </w:p>
    <w:p w:rsidR="00FA33CA" w:rsidRDefault="00FA33CA" w:rsidP="00320CC4">
      <w:pPr>
        <w:pStyle w:val="CRPD-Questionstyle"/>
        <w:spacing w:line="240" w:lineRule="auto"/>
      </w:pPr>
    </w:p>
    <w:p w:rsidR="001F434B" w:rsidRDefault="001F434B" w:rsidP="00320CC4">
      <w:pPr>
        <w:pStyle w:val="CRPD-Questionstyle"/>
        <w:spacing w:line="240" w:lineRule="auto"/>
      </w:pPr>
    </w:p>
    <w:tbl>
      <w:tblPr>
        <w:tblStyle w:val="TableGridLight1"/>
        <w:tblpPr w:leftFromText="180" w:rightFromText="180" w:vertAnchor="text" w:horzAnchor="page" w:tblpX="2279" w:tblpY="987"/>
        <w:tblW w:w="8216" w:type="dxa"/>
        <w:tblLook w:val="04A0" w:firstRow="1" w:lastRow="0" w:firstColumn="1" w:lastColumn="0" w:noHBand="0" w:noVBand="1"/>
      </w:tblPr>
      <w:tblGrid>
        <w:gridCol w:w="3081"/>
        <w:gridCol w:w="1052"/>
        <w:gridCol w:w="927"/>
        <w:gridCol w:w="1052"/>
        <w:gridCol w:w="1052"/>
        <w:gridCol w:w="1052"/>
      </w:tblGrid>
      <w:tr w:rsidR="001F434B" w:rsidRPr="00DF1D96" w:rsidTr="001F434B">
        <w:trPr>
          <w:trHeight w:val="509"/>
        </w:trPr>
        <w:tc>
          <w:tcPr>
            <w:tcW w:w="3080" w:type="dxa"/>
          </w:tcPr>
          <w:p w:rsidR="001F434B" w:rsidRPr="00DF1D96" w:rsidRDefault="001F434B" w:rsidP="00320CC4">
            <w:pPr>
              <w:widowControl w:val="0"/>
              <w:suppressAutoHyphens w:val="0"/>
              <w:spacing w:before="144" w:after="144" w:line="240" w:lineRule="auto"/>
              <w:jc w:val="both"/>
              <w:rPr>
                <w:rFonts w:ascii="Verdana" w:hAnsi="Verdana" w:cstheme="minorBidi"/>
                <w:b/>
                <w:sz w:val="24"/>
                <w:szCs w:val="24"/>
              </w:rPr>
            </w:pPr>
            <w:r w:rsidRPr="00DF1D96">
              <w:rPr>
                <w:rFonts w:ascii="Verdana" w:hAnsi="Verdana" w:cstheme="minorBidi"/>
                <w:b/>
                <w:sz w:val="24"/>
                <w:szCs w:val="24"/>
              </w:rPr>
              <w:t>Year ending June</w:t>
            </w:r>
          </w:p>
        </w:tc>
        <w:tc>
          <w:tcPr>
            <w:tcW w:w="0" w:type="auto"/>
          </w:tcPr>
          <w:p w:rsidR="001F434B" w:rsidRPr="00DF1D96" w:rsidRDefault="001F434B" w:rsidP="00320CC4">
            <w:pPr>
              <w:widowControl w:val="0"/>
              <w:suppressAutoHyphens w:val="0"/>
              <w:spacing w:before="144" w:after="144" w:line="240" w:lineRule="auto"/>
              <w:jc w:val="both"/>
              <w:rPr>
                <w:rFonts w:ascii="Verdana" w:hAnsi="Verdana" w:cstheme="minorBidi"/>
                <w:b/>
                <w:sz w:val="24"/>
                <w:szCs w:val="24"/>
              </w:rPr>
            </w:pPr>
            <w:r w:rsidRPr="00DF1D96">
              <w:rPr>
                <w:rFonts w:ascii="Verdana" w:hAnsi="Verdana" w:cstheme="minorBidi"/>
                <w:b/>
                <w:sz w:val="24"/>
                <w:szCs w:val="24"/>
              </w:rPr>
              <w:t>2014</w:t>
            </w:r>
          </w:p>
        </w:tc>
        <w:tc>
          <w:tcPr>
            <w:tcW w:w="0" w:type="auto"/>
          </w:tcPr>
          <w:p w:rsidR="001F434B" w:rsidRPr="00DF1D96" w:rsidRDefault="001F434B" w:rsidP="00320CC4">
            <w:pPr>
              <w:widowControl w:val="0"/>
              <w:suppressAutoHyphens w:val="0"/>
              <w:spacing w:before="144" w:after="144" w:line="240" w:lineRule="auto"/>
              <w:jc w:val="both"/>
              <w:rPr>
                <w:rFonts w:ascii="Verdana" w:hAnsi="Verdana" w:cstheme="minorBidi"/>
                <w:b/>
                <w:sz w:val="24"/>
                <w:szCs w:val="24"/>
              </w:rPr>
            </w:pPr>
            <w:r w:rsidRPr="00DF1D96">
              <w:rPr>
                <w:rFonts w:ascii="Verdana" w:hAnsi="Verdana" w:cstheme="minorBidi"/>
                <w:b/>
                <w:sz w:val="24"/>
                <w:szCs w:val="24"/>
              </w:rPr>
              <w:t>2015</w:t>
            </w:r>
          </w:p>
        </w:tc>
        <w:tc>
          <w:tcPr>
            <w:tcW w:w="0" w:type="auto"/>
          </w:tcPr>
          <w:p w:rsidR="001F434B" w:rsidRPr="00DF1D96" w:rsidRDefault="001F434B" w:rsidP="00320CC4">
            <w:pPr>
              <w:widowControl w:val="0"/>
              <w:suppressAutoHyphens w:val="0"/>
              <w:spacing w:before="144" w:after="144" w:line="240" w:lineRule="auto"/>
              <w:jc w:val="both"/>
              <w:rPr>
                <w:rFonts w:ascii="Verdana" w:hAnsi="Verdana" w:cstheme="minorBidi"/>
                <w:b/>
                <w:sz w:val="24"/>
                <w:szCs w:val="24"/>
              </w:rPr>
            </w:pPr>
            <w:r w:rsidRPr="00DF1D96">
              <w:rPr>
                <w:rFonts w:ascii="Verdana" w:hAnsi="Verdana" w:cstheme="minorBidi"/>
                <w:b/>
                <w:sz w:val="24"/>
                <w:szCs w:val="24"/>
              </w:rPr>
              <w:t>2016</w:t>
            </w:r>
          </w:p>
        </w:tc>
        <w:tc>
          <w:tcPr>
            <w:tcW w:w="0" w:type="auto"/>
          </w:tcPr>
          <w:p w:rsidR="001F434B" w:rsidRPr="00DF1D96" w:rsidRDefault="001F434B" w:rsidP="00320CC4">
            <w:pPr>
              <w:widowControl w:val="0"/>
              <w:suppressAutoHyphens w:val="0"/>
              <w:spacing w:before="144" w:after="144" w:line="240" w:lineRule="auto"/>
              <w:jc w:val="both"/>
              <w:rPr>
                <w:rFonts w:ascii="Verdana" w:hAnsi="Verdana" w:cstheme="minorBidi"/>
                <w:b/>
                <w:sz w:val="24"/>
                <w:szCs w:val="24"/>
              </w:rPr>
            </w:pPr>
            <w:r w:rsidRPr="00DF1D96">
              <w:rPr>
                <w:rFonts w:ascii="Verdana" w:hAnsi="Verdana" w:cstheme="minorBidi"/>
                <w:b/>
                <w:sz w:val="24"/>
                <w:szCs w:val="24"/>
              </w:rPr>
              <w:t>2017</w:t>
            </w:r>
          </w:p>
        </w:tc>
        <w:tc>
          <w:tcPr>
            <w:tcW w:w="0" w:type="auto"/>
          </w:tcPr>
          <w:p w:rsidR="001F434B" w:rsidRPr="00DF1D96" w:rsidRDefault="001F434B" w:rsidP="00320CC4">
            <w:pPr>
              <w:widowControl w:val="0"/>
              <w:suppressAutoHyphens w:val="0"/>
              <w:spacing w:before="144" w:after="144" w:line="240" w:lineRule="auto"/>
              <w:jc w:val="both"/>
              <w:rPr>
                <w:rFonts w:ascii="Verdana" w:hAnsi="Verdana" w:cstheme="minorBidi"/>
                <w:b/>
                <w:sz w:val="24"/>
                <w:szCs w:val="24"/>
              </w:rPr>
            </w:pPr>
            <w:r w:rsidRPr="00DF1D96">
              <w:rPr>
                <w:rFonts w:ascii="Verdana" w:hAnsi="Verdana" w:cstheme="minorBidi"/>
                <w:b/>
                <w:sz w:val="24"/>
                <w:szCs w:val="24"/>
              </w:rPr>
              <w:t>2018</w:t>
            </w:r>
          </w:p>
        </w:tc>
      </w:tr>
      <w:tr w:rsidR="001F434B" w:rsidRPr="00DF1D96" w:rsidTr="001F434B">
        <w:trPr>
          <w:trHeight w:val="487"/>
        </w:trPr>
        <w:tc>
          <w:tcPr>
            <w:tcW w:w="3080" w:type="dxa"/>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 xml:space="preserve">Number of  wheelchair accessible public transport buses </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1940</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2020</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2021</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2210</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2361</w:t>
            </w:r>
          </w:p>
        </w:tc>
      </w:tr>
      <w:tr w:rsidR="001F434B" w:rsidRPr="00DF1D96" w:rsidTr="001F434B">
        <w:trPr>
          <w:trHeight w:val="448"/>
        </w:trPr>
        <w:tc>
          <w:tcPr>
            <w:tcW w:w="3080" w:type="dxa"/>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Percentage of public transport bus fleet</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87.8%</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85%</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84.5%</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szCs w:val="24"/>
              </w:rPr>
            </w:pPr>
            <w:r w:rsidRPr="00DF1D96">
              <w:rPr>
                <w:rFonts w:ascii="Verdana" w:hAnsi="Verdana" w:cstheme="minorBidi"/>
                <w:sz w:val="24"/>
                <w:szCs w:val="24"/>
              </w:rPr>
              <w:t>86.9%</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szCs w:val="24"/>
                <w:highlight w:val="yellow"/>
              </w:rPr>
            </w:pPr>
            <w:r w:rsidRPr="00DF1D96">
              <w:rPr>
                <w:rFonts w:ascii="Verdana" w:hAnsi="Verdana" w:cstheme="minorBidi"/>
                <w:sz w:val="24"/>
                <w:szCs w:val="24"/>
              </w:rPr>
              <w:t>94.5%</w:t>
            </w:r>
          </w:p>
        </w:tc>
      </w:tr>
    </w:tbl>
    <w:p w:rsidR="00C47586" w:rsidRPr="00922AFF" w:rsidRDefault="007C3EAB" w:rsidP="00320CC4">
      <w:pPr>
        <w:pStyle w:val="CRPD-Questionstyle"/>
        <w:spacing w:line="240" w:lineRule="auto"/>
      </w:pPr>
      <w:r w:rsidRPr="00922AFF">
        <w:t>T</w:t>
      </w:r>
      <w:r w:rsidR="00C47586" w:rsidRPr="00922AFF">
        <w:t>able:</w:t>
      </w:r>
      <w:r w:rsidR="00FA33CA">
        <w:t xml:space="preserve"> </w:t>
      </w:r>
      <w:r w:rsidR="00FA33CA">
        <w:rPr>
          <w:rFonts w:cstheme="minorBidi"/>
          <w:szCs w:val="24"/>
        </w:rPr>
        <w:t>Number of</w:t>
      </w:r>
      <w:r w:rsidR="00FA33CA" w:rsidRPr="00DF1D96">
        <w:rPr>
          <w:rFonts w:cstheme="minorBidi"/>
          <w:szCs w:val="24"/>
        </w:rPr>
        <w:t xml:space="preserve"> wheelchair accessible public transport buses</w:t>
      </w:r>
      <w:r w:rsidR="00FA33CA" w:rsidRPr="001B2A28">
        <w:rPr>
          <w:rStyle w:val="FootnoteReference"/>
        </w:rPr>
        <w:footnoteReference w:id="95"/>
      </w:r>
    </w:p>
    <w:p w:rsidR="00C47586" w:rsidRDefault="00C47586" w:rsidP="00320CC4">
      <w:pPr>
        <w:pStyle w:val="CRPD-subsectionheading"/>
        <w:spacing w:line="240" w:lineRule="auto"/>
      </w:pPr>
      <w:r w:rsidRPr="00237D85">
        <w:t xml:space="preserve">Government </w:t>
      </w:r>
      <w:r w:rsidR="00430EEC">
        <w:t>co-</w:t>
      </w:r>
      <w:r>
        <w:t>funds</w:t>
      </w:r>
      <w:r w:rsidRPr="00237D85">
        <w:t xml:space="preserve"> </w:t>
      </w:r>
      <w:r>
        <w:t>p</w:t>
      </w:r>
      <w:r w:rsidRPr="00237D85">
        <w:t xml:space="preserve">ublic transport services. Government contracts require bus fleets to become more accessible over time. These contracts </w:t>
      </w:r>
      <w:r w:rsidRPr="001B2A28">
        <w:t xml:space="preserve">have contributed to a higher proportion of accessible buses. </w:t>
      </w:r>
    </w:p>
    <w:p w:rsidR="00E64FBD" w:rsidRPr="00237D85" w:rsidRDefault="00E64FBD" w:rsidP="00320CC4">
      <w:pPr>
        <w:pStyle w:val="CRPD-Questionstyle"/>
        <w:widowControl w:val="0"/>
        <w:spacing w:line="240" w:lineRule="auto"/>
        <w:ind w:firstLine="567"/>
        <w:rPr>
          <w:lang w:val="en-NZ"/>
        </w:rPr>
      </w:pPr>
      <w:r w:rsidRPr="00237D85">
        <w:rPr>
          <w:lang w:val="en-NZ"/>
        </w:rPr>
        <w:t>(f)</w:t>
      </w:r>
      <w:r w:rsidRPr="00237D85">
        <w:rPr>
          <w:lang w:val="en-NZ"/>
        </w:rPr>
        <w:tab/>
        <w:t xml:space="preserve">Measures taken to ensure that electronic ticketing systems for public transport and journey/travel/timetable information is accessible. </w:t>
      </w:r>
    </w:p>
    <w:p w:rsidR="00C47586" w:rsidRDefault="00C47586" w:rsidP="00320CC4">
      <w:pPr>
        <w:pStyle w:val="CRPD-subsectionheading"/>
        <w:spacing w:line="240" w:lineRule="auto"/>
      </w:pPr>
      <w:r>
        <w:t xml:space="preserve">Current electric ticketing systems for public transport provide for ‘accessible’ concessions in some parts of </w:t>
      </w:r>
      <w:r w:rsidR="002D21E1">
        <w:t>NZ</w:t>
      </w:r>
      <w:r>
        <w:t xml:space="preserve"> and vary in how they are applied. </w:t>
      </w:r>
      <w:r w:rsidRPr="0014501E">
        <w:t>In future, we expect that</w:t>
      </w:r>
      <w:r w:rsidRPr="003725BB">
        <w:t>:</w:t>
      </w:r>
    </w:p>
    <w:p w:rsidR="00C47586" w:rsidRDefault="0032190C" w:rsidP="00320CC4">
      <w:pPr>
        <w:pStyle w:val="CRPDStateParty-bullets"/>
        <w:widowControl w:val="0"/>
        <w:spacing w:line="240" w:lineRule="auto"/>
      </w:pPr>
      <w:r>
        <w:t>p</w:t>
      </w:r>
      <w:r w:rsidR="00C47586">
        <w:t>ayment for public transport services will be provided in</w:t>
      </w:r>
      <w:r w:rsidR="00913F17">
        <w:t xml:space="preserve"> a nationally consistent way</w:t>
      </w:r>
      <w:r w:rsidR="00C47586">
        <w:t>. This will make public transport easier to use. For example, public transport users will only need a single token (</w:t>
      </w:r>
      <w:r w:rsidR="00913F17">
        <w:t>for example, a</w:t>
      </w:r>
      <w:r w:rsidR="00C47586">
        <w:t xml:space="preserve"> smartcard or smartphone) to pay for travel ac</w:t>
      </w:r>
      <w:r w:rsidR="00B41504">
        <w:t>ross public transport</w:t>
      </w:r>
    </w:p>
    <w:p w:rsidR="00C47586" w:rsidRDefault="0032190C" w:rsidP="00320CC4">
      <w:pPr>
        <w:pStyle w:val="CRPDStateParty-bullets"/>
        <w:widowControl w:val="0"/>
        <w:spacing w:line="240" w:lineRule="auto"/>
      </w:pPr>
      <w:r>
        <w:t>t</w:t>
      </w:r>
      <w:r w:rsidR="00C47586">
        <w:t>icketing infrastructure will be made more accessible. For example, wider gates at railway stations to allow wheelchair access and appropriate standardised display formats on ticket validating machines on board public transport vehicles.</w:t>
      </w:r>
    </w:p>
    <w:p w:rsidR="0049169A" w:rsidRDefault="00C47586" w:rsidP="00320CC4">
      <w:pPr>
        <w:pStyle w:val="CRPD-subsectionheading"/>
        <w:spacing w:line="240" w:lineRule="auto"/>
      </w:pPr>
      <w:r>
        <w:lastRenderedPageBreak/>
        <w:t xml:space="preserve">Some measures have been taken by government and operators to ensure that journey, travel or timetable information is accessible </w:t>
      </w:r>
      <w:r w:rsidR="00913F17">
        <w:t>(for example,</w:t>
      </w:r>
      <w:r>
        <w:t xml:space="preserve"> providing audio and braille signage</w:t>
      </w:r>
      <w:r w:rsidR="00913F17" w:rsidRPr="00913F17">
        <w:t xml:space="preserve"> </w:t>
      </w:r>
      <w:r w:rsidR="00913F17">
        <w:t>on request</w:t>
      </w:r>
      <w:r>
        <w:t xml:space="preserve">), however there is no co-ordinated approach. </w:t>
      </w:r>
    </w:p>
    <w:p w:rsidR="00027302" w:rsidRPr="00EE3301" w:rsidRDefault="00027302" w:rsidP="00320CC4">
      <w:pPr>
        <w:pStyle w:val="CRPD-Questionstyle"/>
        <w:widowControl w:val="0"/>
        <w:spacing w:line="240" w:lineRule="auto"/>
        <w:rPr>
          <w:rFonts w:ascii="Times New Roman" w:hAnsi="Times New Roman"/>
          <w:sz w:val="28"/>
          <w:szCs w:val="24"/>
        </w:rPr>
      </w:pPr>
    </w:p>
    <w:p w:rsidR="00E64FBD" w:rsidRPr="00EE3301" w:rsidRDefault="00E64FBD" w:rsidP="00320CC4">
      <w:pPr>
        <w:pStyle w:val="CRPD-Questionstyle"/>
        <w:widowControl w:val="0"/>
        <w:spacing w:line="240" w:lineRule="auto"/>
        <w:rPr>
          <w:rFonts w:ascii="Times New Roman" w:hAnsi="Times New Roman"/>
          <w:sz w:val="28"/>
          <w:szCs w:val="24"/>
        </w:rPr>
      </w:pPr>
      <w:r w:rsidRPr="00EE3301">
        <w:rPr>
          <w:rFonts w:ascii="Times New Roman" w:hAnsi="Times New Roman"/>
          <w:sz w:val="28"/>
          <w:szCs w:val="24"/>
        </w:rPr>
        <w:t>Situations of risk and humanitarian emergencies (art. 11)</w:t>
      </w:r>
    </w:p>
    <w:p w:rsidR="00E64FBD" w:rsidRPr="00237D85" w:rsidRDefault="00E64FBD" w:rsidP="00320CC4">
      <w:pPr>
        <w:pStyle w:val="CRPD-Questionstyle"/>
        <w:widowControl w:val="0"/>
        <w:spacing w:line="240" w:lineRule="auto"/>
        <w:ind w:firstLine="567"/>
        <w:rPr>
          <w:lang w:val="en-NZ"/>
        </w:rPr>
      </w:pPr>
      <w:bookmarkStart w:id="11" w:name="_Hlk512496177"/>
      <w:r w:rsidRPr="00237D85">
        <w:rPr>
          <w:lang w:val="en-NZ"/>
        </w:rPr>
        <w:t>10.</w:t>
      </w:r>
      <w:r w:rsidRPr="00237D85">
        <w:rPr>
          <w:lang w:val="en-NZ"/>
        </w:rPr>
        <w:tab/>
      </w:r>
      <w:r w:rsidR="00987E1F">
        <w:rPr>
          <w:lang w:val="en-NZ"/>
        </w:rPr>
        <w:t>M</w:t>
      </w:r>
      <w:r w:rsidRPr="00237D85">
        <w:rPr>
          <w:lang w:val="en-NZ"/>
        </w:rPr>
        <w:t>easures taken to ensure that disaster risk reduction plan and strategies explicitly provide for accessibility and inclusion of persons with disabilities, in all situations of risk, in line with the Sendai Framework for Disaster Risk Reduction 2015–2030.</w:t>
      </w:r>
    </w:p>
    <w:bookmarkEnd w:id="11"/>
    <w:p w:rsidR="00D40D66" w:rsidRPr="00237D85" w:rsidRDefault="00D410F2" w:rsidP="00320CC4">
      <w:pPr>
        <w:pStyle w:val="CRPD-subsectionheading"/>
        <w:spacing w:line="240" w:lineRule="auto"/>
      </w:pPr>
      <w:r>
        <w:t>Revisions to the</w:t>
      </w:r>
      <w:r w:rsidR="00D40D66" w:rsidRPr="00237D85">
        <w:t xml:space="preserve"> </w:t>
      </w:r>
      <w:r w:rsidR="00D40D66" w:rsidRPr="00237D85">
        <w:rPr>
          <w:i/>
        </w:rPr>
        <w:t xml:space="preserve">National Civil Defence Emergency Management (CDEM) Plan </w:t>
      </w:r>
      <w:r w:rsidR="00D40D66">
        <w:t>in</w:t>
      </w:r>
      <w:r w:rsidR="00D40D66" w:rsidRPr="00237D85">
        <w:t xml:space="preserve"> 2015</w:t>
      </w:r>
      <w:r>
        <w:t xml:space="preserve"> included</w:t>
      </w:r>
      <w:r w:rsidR="00D40D66">
        <w:t xml:space="preserve"> </w:t>
      </w:r>
      <w:r w:rsidR="00D40D66" w:rsidRPr="00237D85">
        <w:t>ensur</w:t>
      </w:r>
      <w:r>
        <w:t>ing</w:t>
      </w:r>
      <w:r w:rsidR="00D40D66" w:rsidRPr="00237D85">
        <w:t xml:space="preserve"> that disaster risk reduction plan</w:t>
      </w:r>
      <w:r w:rsidR="00D40D66">
        <w:t>ning</w:t>
      </w:r>
      <w:r w:rsidR="00D40D66" w:rsidRPr="00237D85">
        <w:t xml:space="preserve"> and strategies explicitly provide for accessibility and inclusion of </w:t>
      </w:r>
      <w:r w:rsidR="00D40D66">
        <w:t>disabled people. This</w:t>
      </w:r>
      <w:r w:rsidR="00D40D66" w:rsidRPr="00237D85">
        <w:t xml:space="preserve"> </w:t>
      </w:r>
      <w:r>
        <w:t>involved</w:t>
      </w:r>
      <w:r w:rsidR="00D40D66" w:rsidRPr="00237D85">
        <w:t>:</w:t>
      </w:r>
    </w:p>
    <w:p w:rsidR="00D40D66" w:rsidRPr="00237D85" w:rsidRDefault="0032190C" w:rsidP="00320CC4">
      <w:pPr>
        <w:pStyle w:val="CRPDStateParty-bullets"/>
        <w:widowControl w:val="0"/>
        <w:spacing w:line="240" w:lineRule="auto"/>
        <w:rPr>
          <w:lang w:val="en-NZ"/>
        </w:rPr>
      </w:pPr>
      <w:r>
        <w:rPr>
          <w:lang w:val="en-NZ"/>
        </w:rPr>
        <w:t>t</w:t>
      </w:r>
      <w:r w:rsidR="00D40D66" w:rsidRPr="00237D85">
        <w:rPr>
          <w:lang w:val="en-NZ"/>
        </w:rPr>
        <w:t>he Office for Disability Issues becoming a national-level support agency that provides information and advice on coordinating assistance to disabled people who hav</w:t>
      </w:r>
      <w:r w:rsidR="00D631E6">
        <w:rPr>
          <w:lang w:val="en-NZ"/>
        </w:rPr>
        <w:t>e welfare needs in an emergency</w:t>
      </w:r>
      <w:r w:rsidR="00D40D66" w:rsidRPr="00237D85">
        <w:rPr>
          <w:lang w:val="en-NZ"/>
        </w:rPr>
        <w:t xml:space="preserve"> </w:t>
      </w:r>
    </w:p>
    <w:p w:rsidR="00D40D66" w:rsidRPr="00237D85" w:rsidRDefault="0032190C" w:rsidP="00320CC4">
      <w:pPr>
        <w:pStyle w:val="CRPDStateParty-bullets"/>
        <w:widowControl w:val="0"/>
        <w:spacing w:line="240" w:lineRule="auto"/>
        <w:rPr>
          <w:lang w:val="en-NZ"/>
        </w:rPr>
      </w:pPr>
      <w:r>
        <w:rPr>
          <w:lang w:val="en-NZ"/>
        </w:rPr>
        <w:t>b</w:t>
      </w:r>
      <w:r w:rsidR="00D40D66" w:rsidRPr="00237D85">
        <w:rPr>
          <w:lang w:val="en-NZ"/>
        </w:rPr>
        <w:t>roaden</w:t>
      </w:r>
      <w:r w:rsidR="00D40D66">
        <w:rPr>
          <w:lang w:val="en-NZ"/>
        </w:rPr>
        <w:t>ing the Plan t</w:t>
      </w:r>
      <w:r w:rsidR="00D40D66" w:rsidRPr="00237D85">
        <w:rPr>
          <w:lang w:val="en-NZ"/>
        </w:rPr>
        <w:t>o</w:t>
      </w:r>
      <w:r w:rsidR="00D40D66">
        <w:rPr>
          <w:lang w:val="en-NZ"/>
        </w:rPr>
        <w:t xml:space="preserve"> include</w:t>
      </w:r>
      <w:r w:rsidR="00D40D66" w:rsidRPr="00237D85">
        <w:rPr>
          <w:lang w:val="en-NZ"/>
        </w:rPr>
        <w:t xml:space="preserve"> </w:t>
      </w:r>
      <w:r w:rsidR="00D40D66">
        <w:rPr>
          <w:lang w:val="en-NZ"/>
        </w:rPr>
        <w:t>disability support services in disaster risk reduction (</w:t>
      </w:r>
      <w:r w:rsidR="00913F17">
        <w:rPr>
          <w:lang w:val="en-NZ"/>
        </w:rPr>
        <w:t>for example,</w:t>
      </w:r>
      <w:r w:rsidR="00D40D66">
        <w:rPr>
          <w:lang w:val="en-NZ"/>
        </w:rPr>
        <w:t xml:space="preserve"> </w:t>
      </w:r>
      <w:r w:rsidR="00D40D66" w:rsidRPr="00237D85">
        <w:rPr>
          <w:lang w:val="en-NZ"/>
        </w:rPr>
        <w:t>hearing and vision services, h</w:t>
      </w:r>
      <w:r w:rsidR="00D40D66">
        <w:rPr>
          <w:lang w:val="en-NZ"/>
        </w:rPr>
        <w:t>ome and community support, and Autism Spectrum D</w:t>
      </w:r>
      <w:r w:rsidR="00D40D66" w:rsidRPr="00237D85">
        <w:rPr>
          <w:lang w:val="en-NZ"/>
        </w:rPr>
        <w:t>isorder support</w:t>
      </w:r>
      <w:r w:rsidR="00913F17">
        <w:rPr>
          <w:lang w:val="en-NZ"/>
        </w:rPr>
        <w:t>)</w:t>
      </w:r>
      <w:r w:rsidR="00D40D66">
        <w:rPr>
          <w:lang w:val="en-NZ"/>
        </w:rPr>
        <w:t xml:space="preserve"> rather than health service</w:t>
      </w:r>
      <w:r w:rsidR="00D631E6">
        <w:rPr>
          <w:lang w:val="en-NZ"/>
        </w:rPr>
        <w:t>s only</w:t>
      </w:r>
    </w:p>
    <w:p w:rsidR="00D40D66" w:rsidRPr="00237D85" w:rsidRDefault="0032190C" w:rsidP="00320CC4">
      <w:pPr>
        <w:pStyle w:val="CRPDStateParty-bullets"/>
        <w:widowControl w:val="0"/>
        <w:spacing w:line="240" w:lineRule="auto"/>
        <w:rPr>
          <w:lang w:val="en-NZ"/>
        </w:rPr>
      </w:pPr>
      <w:r>
        <w:rPr>
          <w:lang w:val="en-NZ"/>
        </w:rPr>
        <w:t>a</w:t>
      </w:r>
      <w:r w:rsidR="00D40D66">
        <w:rPr>
          <w:lang w:val="en-NZ"/>
        </w:rPr>
        <w:t xml:space="preserve"> requirement for </w:t>
      </w:r>
      <w:r w:rsidR="00D40D66" w:rsidRPr="00237D85">
        <w:rPr>
          <w:lang w:val="en-NZ"/>
        </w:rPr>
        <w:t>CDEM agencies</w:t>
      </w:r>
      <w:r w:rsidR="00D40D66" w:rsidRPr="00237D85">
        <w:rPr>
          <w:rStyle w:val="FootnoteReference"/>
          <w:b/>
          <w:lang w:val="en-NZ"/>
        </w:rPr>
        <w:footnoteReference w:id="96"/>
      </w:r>
      <w:r w:rsidR="00D40D66" w:rsidRPr="00237D85">
        <w:rPr>
          <w:lang w:val="en-NZ"/>
        </w:rPr>
        <w:t xml:space="preserve"> to use “…a wide range of channels and media to reach as many people as possible, including…people with disabilities” for their emergency public info</w:t>
      </w:r>
      <w:r w:rsidR="00D631E6">
        <w:rPr>
          <w:lang w:val="en-NZ"/>
        </w:rPr>
        <w:t>rmation management arrangements</w:t>
      </w:r>
    </w:p>
    <w:p w:rsidR="00D40D66" w:rsidRPr="00237D85" w:rsidRDefault="0032190C" w:rsidP="00320CC4">
      <w:pPr>
        <w:pStyle w:val="CRPDStateParty-bullets"/>
        <w:widowControl w:val="0"/>
        <w:spacing w:line="240" w:lineRule="auto"/>
        <w:rPr>
          <w:lang w:val="en-NZ"/>
        </w:rPr>
      </w:pPr>
      <w:r>
        <w:rPr>
          <w:lang w:val="en-NZ"/>
        </w:rPr>
        <w:t>a</w:t>
      </w:r>
      <w:r w:rsidR="00D40D66">
        <w:rPr>
          <w:lang w:val="en-NZ"/>
        </w:rPr>
        <w:t xml:space="preserve">n expectation for </w:t>
      </w:r>
      <w:r w:rsidR="00D40D66" w:rsidRPr="00237D85">
        <w:rPr>
          <w:lang w:val="en-NZ"/>
        </w:rPr>
        <w:t>CDEM agencies to take practicable steps to ensure their public information is accessible, including use of translators and interpreters, live captioning, and/or large print formats.</w:t>
      </w:r>
    </w:p>
    <w:p w:rsidR="00D40D66" w:rsidRDefault="00D40D66" w:rsidP="00320CC4">
      <w:pPr>
        <w:pStyle w:val="CRPD-subsectionheading"/>
        <w:spacing w:line="240" w:lineRule="auto"/>
      </w:pPr>
      <w:r>
        <w:lastRenderedPageBreak/>
        <w:t xml:space="preserve">The Government has a </w:t>
      </w:r>
      <w:r w:rsidRPr="00237D85">
        <w:t>formal partnership with Deaf Aotearoa</w:t>
      </w:r>
      <w:r w:rsidRPr="00237D85">
        <w:rPr>
          <w:rStyle w:val="FootnoteReference"/>
        </w:rPr>
        <w:footnoteReference w:id="97"/>
      </w:r>
      <w:r w:rsidRPr="00237D85">
        <w:t xml:space="preserve"> to better engage with</w:t>
      </w:r>
      <w:r w:rsidR="00D631E6">
        <w:t>,</w:t>
      </w:r>
      <w:r w:rsidRPr="00237D85">
        <w:t xml:space="preserve"> and inform</w:t>
      </w:r>
      <w:r w:rsidR="00D631E6">
        <w:t>,</w:t>
      </w:r>
      <w:r w:rsidRPr="00237D85">
        <w:t xml:space="preserve"> Deaf communities about what to do in emergencies. </w:t>
      </w:r>
      <w:r>
        <w:t>T</w:t>
      </w:r>
      <w:r w:rsidRPr="00237D85">
        <w:t xml:space="preserve">he Government is trialling an initiative to cover the costs of </w:t>
      </w:r>
      <w:r w:rsidR="002D21E1">
        <w:t>NZSL</w:t>
      </w:r>
      <w:r w:rsidRPr="00237D85">
        <w:t xml:space="preserve"> interpreters for media briefings by regional CDEM Groups during emergencies</w:t>
      </w:r>
      <w:r>
        <w:rPr>
          <w:rStyle w:val="FootnoteReference"/>
        </w:rPr>
        <w:footnoteReference w:id="98"/>
      </w:r>
      <w:r w:rsidRPr="00237D85">
        <w:t>.</w:t>
      </w:r>
      <w:r>
        <w:t xml:space="preserve"> </w:t>
      </w:r>
    </w:p>
    <w:p w:rsidR="00D40D66" w:rsidRPr="00407A69" w:rsidRDefault="00D40D66" w:rsidP="00320CC4">
      <w:pPr>
        <w:pStyle w:val="CRPD-subsectionheading"/>
        <w:spacing w:line="240" w:lineRule="auto"/>
      </w:pPr>
      <w:r>
        <w:t>A new</w:t>
      </w:r>
      <w:r w:rsidRPr="00407A69">
        <w:t xml:space="preserve"> </w:t>
      </w:r>
      <w:r w:rsidRPr="00942A6F">
        <w:rPr>
          <w:i/>
        </w:rPr>
        <w:t>National Disaster Resilience Strategy</w:t>
      </w:r>
      <w:r w:rsidRPr="00407A69">
        <w:t xml:space="preserve"> </w:t>
      </w:r>
      <w:r>
        <w:t>will</w:t>
      </w:r>
      <w:r w:rsidRPr="00407A69">
        <w:t xml:space="preserve"> direct progress towards the Sendai Framework’s priorities.</w:t>
      </w:r>
      <w:r>
        <w:t xml:space="preserve"> </w:t>
      </w:r>
      <w:r w:rsidRPr="00407A69">
        <w:t>The Government has engaged dis</w:t>
      </w:r>
      <w:r w:rsidR="004077B6">
        <w:t>able</w:t>
      </w:r>
      <w:r w:rsidR="008D4370">
        <w:t xml:space="preserve">d people in its development. The Strategy </w:t>
      </w:r>
      <w:r w:rsidR="004077B6">
        <w:t>has a specific focus on disabled people.</w:t>
      </w:r>
    </w:p>
    <w:p w:rsidR="00027302" w:rsidRDefault="00027302" w:rsidP="00320CC4">
      <w:pPr>
        <w:pStyle w:val="CRPD-Questionstyle"/>
        <w:widowControl w:val="0"/>
        <w:spacing w:line="240" w:lineRule="auto"/>
        <w:rPr>
          <w:rFonts w:ascii="Times New Roman" w:hAnsi="Times New Roman"/>
          <w:szCs w:val="24"/>
        </w:rPr>
      </w:pPr>
    </w:p>
    <w:p w:rsidR="00064B7F" w:rsidRPr="00EE3301" w:rsidRDefault="00064B7F" w:rsidP="00320CC4">
      <w:pPr>
        <w:pStyle w:val="CRPD-Questionstyle"/>
        <w:widowControl w:val="0"/>
        <w:spacing w:line="240" w:lineRule="auto"/>
        <w:rPr>
          <w:rFonts w:ascii="Times New Roman" w:hAnsi="Times New Roman"/>
          <w:sz w:val="28"/>
          <w:szCs w:val="24"/>
        </w:rPr>
      </w:pPr>
      <w:r w:rsidRPr="00EE3301">
        <w:rPr>
          <w:rFonts w:ascii="Times New Roman" w:hAnsi="Times New Roman"/>
          <w:sz w:val="28"/>
          <w:szCs w:val="24"/>
        </w:rPr>
        <w:t>Equal recognition before the law (art. 12)</w:t>
      </w:r>
    </w:p>
    <w:p w:rsidR="00064B7F" w:rsidRPr="00237D85" w:rsidRDefault="00064B7F" w:rsidP="00320CC4">
      <w:pPr>
        <w:pStyle w:val="CRPD-Questionstyle"/>
        <w:widowControl w:val="0"/>
        <w:spacing w:line="240" w:lineRule="auto"/>
        <w:rPr>
          <w:lang w:val="en-NZ"/>
        </w:rPr>
      </w:pPr>
      <w:r w:rsidRPr="00237D85">
        <w:rPr>
          <w:lang w:val="en-NZ"/>
        </w:rPr>
        <w:t>11.</w:t>
      </w:r>
      <w:r w:rsidRPr="00237D85">
        <w:rPr>
          <w:lang w:val="en-NZ"/>
        </w:rPr>
        <w:tab/>
      </w:r>
    </w:p>
    <w:p w:rsidR="00064B7F" w:rsidRPr="00237D85" w:rsidRDefault="00064B7F" w:rsidP="00320CC4">
      <w:pPr>
        <w:pStyle w:val="CRPD-Questionstyle"/>
        <w:widowControl w:val="0"/>
        <w:spacing w:line="240" w:lineRule="auto"/>
        <w:ind w:firstLine="567"/>
        <w:rPr>
          <w:lang w:val="en-NZ"/>
        </w:rPr>
      </w:pPr>
      <w:r w:rsidRPr="00237D85">
        <w:rPr>
          <w:lang w:val="en-NZ"/>
        </w:rPr>
        <w:t>(a)</w:t>
      </w:r>
      <w:r w:rsidRPr="00237D85">
        <w:rPr>
          <w:lang w:val="en-NZ"/>
        </w:rPr>
        <w:tab/>
        <w:t>Measures taken to revise the relevant laws on supported decision-making, that respect the person’s autonomy, will and preferences, and in full conformity with article 12 of the Convention, including with respect to the individual’s right, in his or her own capacity, to give and withdraw informed consent, consistent with the Committee’s general comment No. 1 (2014) on equal recognition before the law;</w:t>
      </w:r>
    </w:p>
    <w:p w:rsidR="00064B7F" w:rsidRPr="00237D85" w:rsidRDefault="00064B7F" w:rsidP="00320CC4">
      <w:pPr>
        <w:pStyle w:val="CRPD-subsectionheading"/>
        <w:spacing w:line="240" w:lineRule="auto"/>
      </w:pPr>
      <w:r w:rsidRPr="00237D85">
        <w:t>There are no measures currently underway or planned to revise laws to recognise supported decision-making</w:t>
      </w:r>
      <w:r w:rsidR="00AC4136" w:rsidRPr="00237D85">
        <w:t xml:space="preserve"> consistent with the </w:t>
      </w:r>
      <w:r w:rsidR="003D1AC6" w:rsidRPr="00237D85">
        <w:t>CRPD</w:t>
      </w:r>
      <w:r w:rsidR="00BC2726">
        <w:rPr>
          <w:rStyle w:val="FootnoteReference"/>
        </w:rPr>
        <w:footnoteReference w:id="99"/>
      </w:r>
      <w:r w:rsidRPr="00237D85">
        <w:t>.</w:t>
      </w:r>
      <w:r w:rsidR="004738E5">
        <w:t xml:space="preserve"> </w:t>
      </w: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Measures taken to ensure that responsive and tailored supports are available and affordable to all persons with disabilities to exercise their legal capacity and to manage their financial affairs, particularly for persons with psychosocial and/or intellectual disabilities;</w:t>
      </w:r>
    </w:p>
    <w:p w:rsidR="00064B7F" w:rsidRPr="00237D85" w:rsidRDefault="00064B7F" w:rsidP="00320CC4">
      <w:pPr>
        <w:pStyle w:val="CRPD-subsectionheading"/>
        <w:spacing w:line="240" w:lineRule="auto"/>
      </w:pPr>
      <w:r w:rsidRPr="00237D85">
        <w:rPr>
          <w:bCs/>
        </w:rPr>
        <w:lastRenderedPageBreak/>
        <w:t>The</w:t>
      </w:r>
      <w:r w:rsidRPr="00237D85">
        <w:t xml:space="preserve"> </w:t>
      </w:r>
      <w:r w:rsidRPr="00237D85">
        <w:rPr>
          <w:rStyle w:val="CRPDStateParty-bodyitalicsChar"/>
          <w:noProof w:val="0"/>
        </w:rPr>
        <w:t>Code of Health and Disability Services Consumers’ Rights</w:t>
      </w:r>
      <w:r w:rsidRPr="00237D85">
        <w:rPr>
          <w:rStyle w:val="FootnoteReference"/>
        </w:rPr>
        <w:footnoteReference w:id="100"/>
      </w:r>
      <w:r w:rsidRPr="00237D85">
        <w:t xml:space="preserve"> provides for </w:t>
      </w:r>
      <w:r w:rsidR="00AC4136" w:rsidRPr="00237D85">
        <w:t xml:space="preserve">people </w:t>
      </w:r>
      <w:r w:rsidRPr="00237D85">
        <w:t>to make informed choices and give informed consent</w:t>
      </w:r>
      <w:r w:rsidR="00EE17E8">
        <w:t xml:space="preserve">. This </w:t>
      </w:r>
      <w:r w:rsidRPr="00237D85">
        <w:t>includ</w:t>
      </w:r>
      <w:r w:rsidR="00EE17E8">
        <w:t>es</w:t>
      </w:r>
      <w:r w:rsidRPr="00237D85">
        <w:t xml:space="preserve"> the right to effective communication in a form, language and manner that enables them to understand the information provided</w:t>
      </w:r>
      <w:r w:rsidR="00815A6D" w:rsidRPr="00237D85">
        <w:t xml:space="preserve"> when accessing health or disability services</w:t>
      </w:r>
      <w:r w:rsidRPr="00237D85">
        <w:rPr>
          <w:rStyle w:val="FootnoteReference"/>
        </w:rPr>
        <w:footnoteReference w:id="101"/>
      </w:r>
      <w:r w:rsidR="004544FE">
        <w:t xml:space="preserve">. </w:t>
      </w:r>
    </w:p>
    <w:p w:rsidR="00064B7F" w:rsidRPr="00237D85" w:rsidRDefault="00064B7F" w:rsidP="00320CC4">
      <w:pPr>
        <w:pStyle w:val="CRPD-subsectionheading"/>
        <w:spacing w:line="240" w:lineRule="auto"/>
      </w:pPr>
      <w:r w:rsidRPr="00237D85">
        <w:t xml:space="preserve">A key outcome of the disability support system </w:t>
      </w:r>
      <w:r w:rsidR="00EA5865" w:rsidRPr="00237D85">
        <w:t>transformation</w:t>
      </w:r>
      <w:r w:rsidR="00EE17E8">
        <w:t xml:space="preserve"> prototype</w:t>
      </w:r>
      <w:r w:rsidR="00EA5865" w:rsidRPr="00237D85">
        <w:t xml:space="preserve"> </w:t>
      </w:r>
      <w:r w:rsidRPr="00237D85">
        <w:t xml:space="preserve">is to promote disabled people having options and decision-making authority over </w:t>
      </w:r>
      <w:r w:rsidR="00B41504">
        <w:t xml:space="preserve">their </w:t>
      </w:r>
      <w:r w:rsidRPr="00237D85">
        <w:t xml:space="preserve">supports and their lives. </w:t>
      </w:r>
      <w:r w:rsidR="001248AE">
        <w:t>Government</w:t>
      </w:r>
      <w:r w:rsidR="004544FE">
        <w:t xml:space="preserve"> </w:t>
      </w:r>
      <w:r w:rsidR="001248AE">
        <w:t>intends</w:t>
      </w:r>
      <w:r w:rsidRPr="00237D85">
        <w:t xml:space="preserve"> that supported </w:t>
      </w:r>
      <w:r w:rsidRPr="00EE17E8">
        <w:t xml:space="preserve">decision-making will be available for people accessing supports. </w:t>
      </w:r>
      <w:r w:rsidR="00E25340" w:rsidRPr="00EE17E8">
        <w:t xml:space="preserve">Disability Support Services </w:t>
      </w:r>
      <w:r w:rsidR="00FF123A">
        <w:t xml:space="preserve">can provide </w:t>
      </w:r>
      <w:r w:rsidRPr="00EE17E8">
        <w:t>for disabled people to have access to budget management.</w:t>
      </w:r>
      <w:r w:rsidR="004544FE" w:rsidRPr="00EE17E8">
        <w:t xml:space="preserve"> See introduction and </w:t>
      </w:r>
      <w:r w:rsidR="00A96E48" w:rsidRPr="00EE17E8">
        <w:t>question</w:t>
      </w:r>
      <w:r w:rsidR="004544FE" w:rsidRPr="00EE17E8">
        <w:t xml:space="preserve"> 5(f).</w:t>
      </w:r>
    </w:p>
    <w:p w:rsidR="008964BF" w:rsidRPr="008964BF" w:rsidRDefault="008964BF" w:rsidP="00320CC4">
      <w:pPr>
        <w:pStyle w:val="CRPD-subsectionheading"/>
        <w:spacing w:line="240" w:lineRule="auto"/>
      </w:pPr>
      <w:r w:rsidRPr="008964BF">
        <w:t>The ru</w:t>
      </w:r>
      <w:r w:rsidRPr="00EE17E8">
        <w:t>les and policies for the Funded Family Care</w:t>
      </w:r>
      <w:r w:rsidRPr="00EE17E8">
        <w:rPr>
          <w:rStyle w:val="FootnoteReference"/>
          <w:rFonts w:ascii="Verdana" w:hAnsi="Verdana"/>
          <w:sz w:val="20"/>
        </w:rPr>
        <w:footnoteReference w:id="102"/>
      </w:r>
      <w:r w:rsidRPr="00EE17E8">
        <w:t xml:space="preserve"> </w:t>
      </w:r>
      <w:r w:rsidR="00EE17E8" w:rsidRPr="00EE17E8">
        <w:t>(see question 5(d</w:t>
      </w:r>
      <w:r w:rsidRPr="00EE17E8">
        <w:t>)) recognise</w:t>
      </w:r>
      <w:r w:rsidRPr="008964BF">
        <w:t xml:space="preserve"> the need for supported decision-making for clients who access the policy, and are being considered as part of the review of Funded Family Care. </w:t>
      </w:r>
    </w:p>
    <w:p w:rsidR="008964BF" w:rsidRPr="008964BF" w:rsidRDefault="00EE17E8" w:rsidP="00320CC4">
      <w:pPr>
        <w:pStyle w:val="CRPD-subsectionheading"/>
        <w:spacing w:line="240" w:lineRule="auto"/>
      </w:pPr>
      <w:r>
        <w:t>In community residential s</w:t>
      </w:r>
      <w:r w:rsidR="008964BF" w:rsidRPr="008964BF">
        <w:t xml:space="preserve">ervices contracts, the residential provider must support disabled people in their right to control their own money, unless the </w:t>
      </w:r>
      <w:r w:rsidR="008964BF" w:rsidRPr="008964BF">
        <w:rPr>
          <w:i/>
        </w:rPr>
        <w:t>Protection of Personal and Property Rights Act 1988</w:t>
      </w:r>
      <w:r w:rsidR="008964BF" w:rsidRPr="008964BF">
        <w:t xml:space="preserve"> or other legislation applies. In these circumstances, decisions </w:t>
      </w:r>
      <w:r w:rsidR="00A2454B">
        <w:t>are made</w:t>
      </w:r>
      <w:r w:rsidR="008964BF" w:rsidRPr="008964BF">
        <w:t xml:space="preserve"> in the best interests of the person. </w:t>
      </w:r>
    </w:p>
    <w:p w:rsidR="00064B7F" w:rsidRPr="00237D85" w:rsidRDefault="00064B7F" w:rsidP="00320CC4">
      <w:pPr>
        <w:pStyle w:val="CRPD-Questionstyle"/>
        <w:widowControl w:val="0"/>
        <w:spacing w:line="240" w:lineRule="auto"/>
        <w:rPr>
          <w:lang w:val="en-NZ"/>
        </w:rPr>
      </w:pPr>
      <w:r w:rsidRPr="00237D85">
        <w:rPr>
          <w:lang w:val="en-NZ"/>
        </w:rPr>
        <w:tab/>
        <w:t>(c)</w:t>
      </w:r>
      <w:r w:rsidRPr="00237D85">
        <w:rPr>
          <w:lang w:val="en-NZ"/>
        </w:rPr>
        <w:tab/>
        <w:t>The number of guardianships, interdictions or curatorships issued and the number of persons with disabilities who have regained legal capacity since the ratification of the Convention.</w:t>
      </w:r>
    </w:p>
    <w:p w:rsidR="00064B7F" w:rsidRPr="00237D85" w:rsidRDefault="00064B7F" w:rsidP="00320CC4">
      <w:pPr>
        <w:pStyle w:val="CRPD-subsectionheading"/>
        <w:spacing w:line="240" w:lineRule="auto"/>
      </w:pPr>
      <w:r w:rsidRPr="0085494F">
        <w:rPr>
          <w:i/>
        </w:rPr>
        <w:t>The Protection of Personal and Property Rights Act 1988</w:t>
      </w:r>
      <w:r w:rsidRPr="00237D85">
        <w:t xml:space="preserve"> </w:t>
      </w:r>
      <w:r w:rsidR="00EE17E8">
        <w:t>outlines</w:t>
      </w:r>
      <w:r w:rsidRPr="00237D85">
        <w:t xml:space="preserve"> the rules for welfare guardianship applications. Welfare guardians may be appointed for a person if they wholly lack capacity to (cannot) make or communicate decisions about their welfare. A guardian may be appointed if it is the only way to ensure appropriate decisions are made. </w:t>
      </w:r>
    </w:p>
    <w:p w:rsidR="0098517A" w:rsidRDefault="0098517A" w:rsidP="00320CC4">
      <w:pPr>
        <w:pStyle w:val="CRPD-subsectionheading"/>
        <w:spacing w:line="240" w:lineRule="auto"/>
      </w:pPr>
      <w:r w:rsidRPr="00237D85">
        <w:t>We are not able to provide data on the number of guardianships currently in force or the number of people who have regained legal capacity since the ratification of the CRPD.</w:t>
      </w:r>
      <w:r>
        <w:t xml:space="preserve"> </w:t>
      </w:r>
    </w:p>
    <w:p w:rsidR="00064B7F" w:rsidRPr="00237D85" w:rsidRDefault="0098517A" w:rsidP="00320CC4">
      <w:pPr>
        <w:pStyle w:val="CRPD-subsectionheading"/>
        <w:spacing w:line="240" w:lineRule="auto"/>
      </w:pPr>
      <w:r>
        <w:lastRenderedPageBreak/>
        <w:t>We do know that t</w:t>
      </w:r>
      <w:r w:rsidR="00064B7F" w:rsidRPr="00237D85">
        <w:t>he number of approved applications for welfare guardianship increased from 743 in 2008 to 1,525 in 2017</w:t>
      </w:r>
      <w:r w:rsidR="005A67F2" w:rsidRPr="00237D85">
        <w:rPr>
          <w:rStyle w:val="FootnoteReference"/>
        </w:rPr>
        <w:footnoteReference w:id="103"/>
      </w:r>
      <w:r w:rsidR="00064B7F" w:rsidRPr="00237D85">
        <w:t xml:space="preserve">. Judges can end or change welfare guardianships. We do not collect data on these changes. </w:t>
      </w:r>
    </w:p>
    <w:p w:rsidR="006F7302" w:rsidRPr="00EE3301" w:rsidRDefault="006F7302" w:rsidP="00320CC4">
      <w:pPr>
        <w:pStyle w:val="CRPD-Questionstyle"/>
        <w:widowControl w:val="0"/>
        <w:spacing w:line="240" w:lineRule="auto"/>
        <w:rPr>
          <w:rFonts w:ascii="Times New Roman" w:hAnsi="Times New Roman"/>
          <w:sz w:val="28"/>
          <w:szCs w:val="24"/>
        </w:rPr>
      </w:pPr>
    </w:p>
    <w:p w:rsidR="00064B7F" w:rsidRPr="00EE3301" w:rsidRDefault="00064B7F" w:rsidP="00320CC4">
      <w:pPr>
        <w:pStyle w:val="CRPD-Questionstyle"/>
        <w:widowControl w:val="0"/>
        <w:spacing w:line="240" w:lineRule="auto"/>
        <w:rPr>
          <w:rFonts w:ascii="Times New Roman" w:hAnsi="Times New Roman"/>
          <w:sz w:val="28"/>
          <w:szCs w:val="24"/>
        </w:rPr>
      </w:pPr>
      <w:r w:rsidRPr="00EE3301">
        <w:rPr>
          <w:rFonts w:ascii="Times New Roman" w:hAnsi="Times New Roman"/>
          <w:sz w:val="28"/>
          <w:szCs w:val="24"/>
        </w:rPr>
        <w:t>Access to justice (art. 13)</w:t>
      </w:r>
    </w:p>
    <w:p w:rsidR="00064B7F" w:rsidRPr="00237D85" w:rsidRDefault="00064B7F" w:rsidP="00320CC4">
      <w:pPr>
        <w:pStyle w:val="CRPD-Questionstyle"/>
        <w:widowControl w:val="0"/>
        <w:spacing w:line="240" w:lineRule="auto"/>
        <w:rPr>
          <w:lang w:val="en-NZ"/>
        </w:rPr>
      </w:pPr>
      <w:r w:rsidRPr="00237D85">
        <w:rPr>
          <w:lang w:val="en-NZ"/>
        </w:rPr>
        <w:t>12.</w:t>
      </w:r>
      <w:r w:rsidRPr="00237D85">
        <w:rPr>
          <w:lang w:val="en-NZ"/>
        </w:rPr>
        <w:tab/>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Measures taken to review the processes for assessing compensation by the Accident Compensation Corporation to ensure that adequate legal aid is available and the processes are fully accessible to all claimants, and to ensure that the mechanism has a human rights-based approach;</w:t>
      </w:r>
    </w:p>
    <w:p w:rsidR="0014501E" w:rsidRPr="00873364" w:rsidRDefault="0014501E" w:rsidP="00320CC4">
      <w:pPr>
        <w:pStyle w:val="CRPD-subsectionheading"/>
        <w:spacing w:line="240" w:lineRule="auto"/>
      </w:pPr>
      <w:r w:rsidRPr="00933593">
        <w:rPr>
          <w:bCs/>
        </w:rPr>
        <w:t>ACC</w:t>
      </w:r>
      <w:r w:rsidRPr="00237D85">
        <w:t xml:space="preserve"> provide</w:t>
      </w:r>
      <w:r>
        <w:t>s</w:t>
      </w:r>
      <w:r w:rsidRPr="00237D85">
        <w:t xml:space="preserve"> no-fault personal injury cover for everyone in </w:t>
      </w:r>
      <w:r w:rsidR="002D21E1">
        <w:t>NZ</w:t>
      </w:r>
      <w:r w:rsidRPr="00237D85">
        <w:t xml:space="preserve">, including overseas visitors. Individuals </w:t>
      </w:r>
      <w:r>
        <w:t>waive</w:t>
      </w:r>
      <w:r w:rsidRPr="00237D85">
        <w:t xml:space="preserve"> the right to sue for compensatory damages following injury </w:t>
      </w:r>
      <w:r w:rsidRPr="00873364">
        <w:t xml:space="preserve">in exchange for comprehensive accident cover and compensation. </w:t>
      </w:r>
      <w:r w:rsidR="00EE17E8">
        <w:t>The s</w:t>
      </w:r>
      <w:r w:rsidR="00933593" w:rsidRPr="00873364">
        <w:t xml:space="preserve">cheme’s three core functions cover: injury prevention, rehabilitation and compensation. </w:t>
      </w:r>
      <w:r w:rsidR="002D21E1" w:rsidRPr="00873364">
        <w:t>NZ</w:t>
      </w:r>
      <w:r w:rsidRPr="00873364">
        <w:t xml:space="preserve"> is the only country that provides a comprehensive accident insurance scheme like ACC.</w:t>
      </w:r>
    </w:p>
    <w:p w:rsidR="0098517A" w:rsidRPr="00873364" w:rsidRDefault="0014501E" w:rsidP="00320CC4">
      <w:pPr>
        <w:pStyle w:val="CRPD-subsectionheading"/>
        <w:spacing w:line="240" w:lineRule="auto"/>
      </w:pPr>
      <w:r w:rsidRPr="00873364">
        <w:t xml:space="preserve">All claimants are entitled to apply for a review of </w:t>
      </w:r>
      <w:r w:rsidR="0098517A" w:rsidRPr="00873364">
        <w:t>ACC</w:t>
      </w:r>
      <w:r w:rsidRPr="00873364">
        <w:t xml:space="preserve"> decisions on cover and entitlements. There is no charge to apply </w:t>
      </w:r>
      <w:r w:rsidR="00EE17E8">
        <w:t>for a review of an ACC decision</w:t>
      </w:r>
      <w:r w:rsidRPr="00873364">
        <w:t xml:space="preserve"> and claimants </w:t>
      </w:r>
      <w:r w:rsidR="00EE17E8">
        <w:t>may</w:t>
      </w:r>
      <w:r w:rsidRPr="00873364">
        <w:t xml:space="preserve"> be awarded costs</w:t>
      </w:r>
      <w:r w:rsidRPr="00873364">
        <w:rPr>
          <w:rStyle w:val="FootnoteReference"/>
        </w:rPr>
        <w:footnoteReference w:id="104"/>
      </w:r>
      <w:r w:rsidRPr="00873364">
        <w:t xml:space="preserve">. </w:t>
      </w:r>
      <w:r w:rsidR="00285A6D" w:rsidRPr="00285A6D">
        <w:t>Legal aid, which is administer</w:t>
      </w:r>
      <w:r w:rsidR="00285A6D">
        <w:t xml:space="preserve">ed by the Ministry of Justice, </w:t>
      </w:r>
      <w:r w:rsidR="00285A6D" w:rsidRPr="00285A6D">
        <w:t>is available for reviews and appeals</w:t>
      </w:r>
      <w:r w:rsidR="00285A6D">
        <w:t xml:space="preserve"> of ACC decisions in some cases</w:t>
      </w:r>
      <w:r w:rsidR="0098517A" w:rsidRPr="00873364">
        <w:t xml:space="preserve">. </w:t>
      </w:r>
      <w:r w:rsidR="000873F8">
        <w:t xml:space="preserve"> It is not available</w:t>
      </w:r>
      <w:r w:rsidR="000873F8" w:rsidRPr="000873F8">
        <w:t xml:space="preserve"> </w:t>
      </w:r>
      <w:r w:rsidR="000873F8" w:rsidRPr="00285A6D">
        <w:t>for making ACC claims</w:t>
      </w:r>
      <w:r w:rsidR="000873F8">
        <w:t xml:space="preserve"> </w:t>
      </w:r>
      <w:r w:rsidR="000873F8" w:rsidRPr="000873F8">
        <w:t>as no legal fees or representation is involved in the making of a claim.</w:t>
      </w:r>
    </w:p>
    <w:p w:rsidR="0014501E" w:rsidRPr="00EE17E8" w:rsidRDefault="0014501E" w:rsidP="00320CC4">
      <w:pPr>
        <w:pStyle w:val="CRPD-subsectionheading"/>
        <w:spacing w:line="240" w:lineRule="auto"/>
      </w:pPr>
      <w:r w:rsidRPr="00873364">
        <w:lastRenderedPageBreak/>
        <w:t>ACC has introduced changes to its dispute resolution process to improve service delivery and promote early resolution of issues. A free, independent</w:t>
      </w:r>
      <w:r w:rsidRPr="00237D85">
        <w:t xml:space="preserve"> </w:t>
      </w:r>
      <w:r>
        <w:t xml:space="preserve">navigation </w:t>
      </w:r>
      <w:r w:rsidRPr="00237D85">
        <w:t>service</w:t>
      </w:r>
      <w:r w:rsidR="004F0260">
        <w:t>, to assist claimants with understanding their legal rights and the process around challenging decisions by ACC,</w:t>
      </w:r>
      <w:r w:rsidRPr="00237D85">
        <w:t xml:space="preserve"> is scheduled to begin by </w:t>
      </w:r>
      <w:r>
        <w:t>mid-</w:t>
      </w:r>
      <w:r w:rsidRPr="00237D85">
        <w:t>2019. The service is expected to</w:t>
      </w:r>
      <w:r>
        <w:t xml:space="preserve"> help 4,4</w:t>
      </w:r>
      <w:r w:rsidRPr="00237D85">
        <w:t>00 clients per year</w:t>
      </w:r>
      <w:r w:rsidRPr="00237D85">
        <w:rPr>
          <w:rStyle w:val="FootnoteReference"/>
        </w:rPr>
        <w:footnoteReference w:id="105"/>
      </w:r>
      <w:r w:rsidRPr="00237D85">
        <w:t xml:space="preserve"> to navigate its processes when they </w:t>
      </w:r>
      <w:r w:rsidRPr="00EE17E8">
        <w:t>want to challenge, or better understand, a decision</w:t>
      </w:r>
      <w:r w:rsidRPr="00EE17E8">
        <w:rPr>
          <w:rStyle w:val="FootnoteReference"/>
        </w:rPr>
        <w:footnoteReference w:id="106"/>
      </w:r>
      <w:r w:rsidRPr="00EE17E8">
        <w:t>. ACC has clear expectations around accessibility for this service, especially to Māori, disabled people and those with language or literacy needs.</w:t>
      </w:r>
    </w:p>
    <w:p w:rsidR="0014501E" w:rsidRPr="00EE17E8" w:rsidRDefault="0014501E" w:rsidP="00320CC4">
      <w:pPr>
        <w:pStyle w:val="CRPD-subsectionheading"/>
        <w:spacing w:line="240" w:lineRule="auto"/>
      </w:pPr>
      <w:r w:rsidRPr="00EE17E8">
        <w:t>ACC</w:t>
      </w:r>
      <w:r w:rsidR="004F0260" w:rsidRPr="00EE17E8">
        <w:t xml:space="preserve"> is</w:t>
      </w:r>
      <w:r w:rsidRPr="00EE17E8">
        <w:t xml:space="preserve"> </w:t>
      </w:r>
      <w:r w:rsidR="0078636C" w:rsidRPr="00EE17E8">
        <w:t xml:space="preserve">committed to </w:t>
      </w:r>
      <w:r w:rsidRPr="00EE17E8">
        <w:t>the Accessibility Charter</w:t>
      </w:r>
      <w:r w:rsidR="0078636C" w:rsidRPr="00EE17E8">
        <w:t xml:space="preserve"> (see question </w:t>
      </w:r>
      <w:r w:rsidR="00EE17E8" w:rsidRPr="00EE17E8">
        <w:t>20(d)</w:t>
      </w:r>
      <w:r w:rsidR="0078636C" w:rsidRPr="00EE17E8">
        <w:t>).</w:t>
      </w:r>
    </w:p>
    <w:p w:rsidR="00064B7F" w:rsidRPr="00237D85" w:rsidRDefault="00933593" w:rsidP="00320CC4">
      <w:pPr>
        <w:pStyle w:val="CRPD-subsectionheading"/>
        <w:spacing w:line="240" w:lineRule="auto"/>
      </w:pPr>
      <w:r w:rsidRPr="00EE17E8">
        <w:t>R</w:t>
      </w:r>
      <w:r w:rsidR="00064B7F" w:rsidRPr="00EE17E8">
        <w:t>eviewers</w:t>
      </w:r>
      <w:r w:rsidR="00EB0F8F" w:rsidRPr="00EE17E8">
        <w:rPr>
          <w:rStyle w:val="FootnoteReference"/>
        </w:rPr>
        <w:footnoteReference w:id="107"/>
      </w:r>
      <w:r w:rsidRPr="00EE17E8">
        <w:t xml:space="preserve"> must</w:t>
      </w:r>
      <w:r w:rsidR="00064B7F" w:rsidRPr="00EE17E8">
        <w:t xml:space="preserve"> act independently, comply with the principles of natural justice and</w:t>
      </w:r>
      <w:r w:rsidR="00064B7F" w:rsidRPr="00237D85">
        <w:t xml:space="preserve"> exercise due diligence in decision-making.</w:t>
      </w: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Measures taken by tribunals to adopt a responsive and flexible approach to the admission of evidence, and to provide free legal aid to ensure full access to judicial remedies, particularly by persons with disabilities with scarce economic resources and those that are still institutionalized;</w:t>
      </w:r>
    </w:p>
    <w:p w:rsidR="00952303" w:rsidRPr="00237D85" w:rsidRDefault="001974ED" w:rsidP="00320CC4">
      <w:pPr>
        <w:pStyle w:val="CRPD-subsectionheading"/>
        <w:spacing w:line="240" w:lineRule="auto"/>
      </w:pPr>
      <w:r>
        <w:t>Generally, t</w:t>
      </w:r>
      <w:r w:rsidR="00952303" w:rsidRPr="00237D85">
        <w:t>ribunals can receive as evidence any statement, document, information or matter that may assist the tribunal (whether or not such material would be admissible in a court of law).</w:t>
      </w:r>
      <w:r w:rsidR="00742B5B">
        <w:t xml:space="preserve"> </w:t>
      </w:r>
    </w:p>
    <w:p w:rsidR="0061157A" w:rsidRPr="0061157A" w:rsidRDefault="0061157A" w:rsidP="00320CC4">
      <w:pPr>
        <w:pStyle w:val="CRPD-subsectionheading"/>
        <w:spacing w:line="240" w:lineRule="auto"/>
      </w:pPr>
      <w:r w:rsidRPr="0061157A">
        <w:t>Parliament recently passed legislation</w:t>
      </w:r>
      <w:r w:rsidRPr="0061157A">
        <w:rPr>
          <w:vertAlign w:val="superscript"/>
        </w:rPr>
        <w:footnoteReference w:id="108"/>
      </w:r>
      <w:r w:rsidR="00EE17E8">
        <w:t xml:space="preserve"> which</w:t>
      </w:r>
      <w:r w:rsidRPr="0061157A">
        <w:t xml:space="preserve"> increas</w:t>
      </w:r>
      <w:r w:rsidR="00EE17E8">
        <w:t>es</w:t>
      </w:r>
      <w:r w:rsidRPr="0061157A">
        <w:t xml:space="preserve"> access to Mi</w:t>
      </w:r>
      <w:r w:rsidR="00EE17E8">
        <w:t>nistry of Justice-administered t</w:t>
      </w:r>
      <w:r w:rsidRPr="0061157A">
        <w:t>ribunals. The changes standardise the use of audio-visual or other remote access facilities and offer the option of hearing matters without a physical hearing where appropriate. This recognises that travel costs can be a barrier to access.</w:t>
      </w:r>
    </w:p>
    <w:p w:rsidR="0061157A" w:rsidRPr="0061157A" w:rsidRDefault="0061157A" w:rsidP="00320CC4">
      <w:pPr>
        <w:pStyle w:val="CRPD-subsectionheading"/>
        <w:spacing w:line="240" w:lineRule="auto"/>
      </w:pPr>
      <w:r w:rsidRPr="0061157A">
        <w:lastRenderedPageBreak/>
        <w:t>Legal aid is available</w:t>
      </w:r>
      <w:r w:rsidRPr="0061157A" w:rsidDel="003A1C8C">
        <w:t xml:space="preserve"> </w:t>
      </w:r>
      <w:r w:rsidRPr="0061157A">
        <w:t>for proceedings in some tribunals</w:t>
      </w:r>
      <w:r>
        <w:rPr>
          <w:rStyle w:val="FootnoteReference"/>
        </w:rPr>
        <w:footnoteReference w:id="109"/>
      </w:r>
      <w:r w:rsidRPr="0061157A">
        <w:t xml:space="preserve">. Legal aid can be granted for other tribunals where the Legal Services Commissioner considers legal representation is necessary and the person would suffer substantial hardship without aid. </w:t>
      </w:r>
    </w:p>
    <w:p w:rsidR="0061157A" w:rsidRPr="0061157A" w:rsidRDefault="0061157A" w:rsidP="00320CC4">
      <w:pPr>
        <w:pStyle w:val="CRPD-subsectionheading"/>
        <w:spacing w:line="240" w:lineRule="auto"/>
      </w:pPr>
      <w:r w:rsidRPr="0061157A">
        <w:t xml:space="preserve">Whether someone is eligible to receive legal aid depends on factors </w:t>
      </w:r>
      <w:r w:rsidR="00B70EBF">
        <w:t>including</w:t>
      </w:r>
      <w:r w:rsidRPr="0061157A">
        <w:t xml:space="preserve"> the person’s income and the merits of their case. The type and amount of grant is tailored to the individual’s needs (</w:t>
      </w:r>
      <w:r w:rsidR="00B70EBF">
        <w:t xml:space="preserve">including </w:t>
      </w:r>
      <w:r w:rsidRPr="0061157A">
        <w:t xml:space="preserve">whether a disability might hinder that individual’s access to justice). </w:t>
      </w:r>
    </w:p>
    <w:p w:rsidR="0061157A" w:rsidRDefault="0061157A" w:rsidP="00320CC4">
      <w:pPr>
        <w:pStyle w:val="CRPD-subsectionheading"/>
        <w:spacing w:line="240" w:lineRule="auto"/>
      </w:pPr>
      <w:r w:rsidRPr="0061157A">
        <w:t xml:space="preserve">In 2018, the </w:t>
      </w:r>
      <w:r>
        <w:t>Government</w:t>
      </w:r>
      <w:r w:rsidRPr="0061157A">
        <w:t xml:space="preserve"> </w:t>
      </w:r>
      <w:r w:rsidR="00DB6B5A">
        <w:t xml:space="preserve">reviewed </w:t>
      </w:r>
      <w:r w:rsidR="00EE17E8">
        <w:t xml:space="preserve">the </w:t>
      </w:r>
      <w:r w:rsidRPr="0061157A">
        <w:t xml:space="preserve">legal aid policy settings. The review </w:t>
      </w:r>
      <w:r w:rsidR="001974ED">
        <w:t>included looking</w:t>
      </w:r>
      <w:r w:rsidRPr="0061157A">
        <w:t xml:space="preserve"> at the impacts</w:t>
      </w:r>
      <w:r w:rsidR="00EE17E8">
        <w:t xml:space="preserve"> on different population groups,</w:t>
      </w:r>
      <w:r w:rsidRPr="0061157A">
        <w:t xml:space="preserve"> including </w:t>
      </w:r>
      <w:r>
        <w:t>disabled people</w:t>
      </w:r>
      <w:r w:rsidRPr="0061157A">
        <w:t xml:space="preserve">. </w:t>
      </w:r>
      <w:r w:rsidR="00EE17E8">
        <w:t xml:space="preserve">Decisions on any changes will be made in </w:t>
      </w:r>
      <w:r w:rsidRPr="0061157A">
        <w:t xml:space="preserve">2019.  </w:t>
      </w:r>
    </w:p>
    <w:p w:rsidR="000873F8" w:rsidRPr="0061157A" w:rsidRDefault="000873F8" w:rsidP="00320CC4">
      <w:pPr>
        <w:pStyle w:val="CRPD-subsectionheading"/>
        <w:spacing w:line="240" w:lineRule="auto"/>
      </w:pPr>
      <w:r>
        <w:t>M</w:t>
      </w:r>
      <w:r w:rsidRPr="000873F8">
        <w:t xml:space="preserve">any tribunals, </w:t>
      </w:r>
      <w:r w:rsidR="00B70EBF">
        <w:t>including</w:t>
      </w:r>
      <w:r w:rsidRPr="000873F8">
        <w:t xml:space="preserve"> the Human Rights Review Tribunal, do not require claimants to pay filing and associated fees as a means of securing individuals’ access to justice</w:t>
      </w:r>
      <w:r>
        <w:t>.</w:t>
      </w:r>
    </w:p>
    <w:p w:rsidR="00064B7F" w:rsidRPr="00237D85" w:rsidRDefault="00064B7F" w:rsidP="00320CC4">
      <w:pPr>
        <w:pStyle w:val="CRPD-Questionstyle"/>
        <w:widowControl w:val="0"/>
        <w:spacing w:line="240" w:lineRule="auto"/>
        <w:rPr>
          <w:lang w:val="en-NZ"/>
        </w:rPr>
      </w:pPr>
      <w:r w:rsidRPr="00237D85">
        <w:rPr>
          <w:lang w:val="en-NZ"/>
        </w:rPr>
        <w:tab/>
        <w:t>(c)</w:t>
      </w:r>
      <w:r w:rsidRPr="00237D85">
        <w:rPr>
          <w:lang w:val="en-NZ"/>
        </w:rPr>
        <w:tab/>
        <w:t xml:space="preserve">Steps taken to collect data related to the prevalence of young people with psychosocial and/or intellectual disabilities in the juvenile justice system. </w:t>
      </w:r>
      <w:r w:rsidR="00EE17E8">
        <w:rPr>
          <w:lang w:val="en-NZ"/>
        </w:rPr>
        <w:t>I</w:t>
      </w:r>
      <w:r w:rsidRPr="00237D85">
        <w:rPr>
          <w:lang w:val="en-NZ"/>
        </w:rPr>
        <w:t>ndicate how the data are reflected in practice;</w:t>
      </w:r>
    </w:p>
    <w:p w:rsidR="00952303" w:rsidRPr="00257600" w:rsidRDefault="00952303" w:rsidP="00320CC4">
      <w:pPr>
        <w:pStyle w:val="CRPD-subsectionheading"/>
        <w:spacing w:line="240" w:lineRule="auto"/>
        <w:rPr>
          <w:b/>
        </w:rPr>
      </w:pPr>
      <w:r w:rsidRPr="00257600">
        <w:t>Data is not collected on the prevalence of young people with psychosocial and/or intellectual disabilities in the</w:t>
      </w:r>
      <w:r w:rsidR="00031D62" w:rsidRPr="00257600">
        <w:t xml:space="preserve"> </w:t>
      </w:r>
      <w:r w:rsidRPr="00257600">
        <w:t>juvenile justice system</w:t>
      </w:r>
      <w:r w:rsidR="00B0693A">
        <w:rPr>
          <w:rStyle w:val="FootnoteReference"/>
        </w:rPr>
        <w:footnoteReference w:id="110"/>
      </w:r>
      <w:r w:rsidR="00257600">
        <w:t>.</w:t>
      </w:r>
    </w:p>
    <w:p w:rsidR="00064B7F" w:rsidRPr="00237D85" w:rsidRDefault="002D21E1" w:rsidP="00320CC4">
      <w:pPr>
        <w:pStyle w:val="CRPD-subsectionheading"/>
        <w:spacing w:line="240" w:lineRule="auto"/>
      </w:pPr>
      <w:r>
        <w:t>NZ</w:t>
      </w:r>
      <w:r w:rsidR="00064B7F" w:rsidRPr="00237D85">
        <w:t xml:space="preserve"> </w:t>
      </w:r>
      <w:r w:rsidR="00031D62">
        <w:t xml:space="preserve">instead </w:t>
      </w:r>
      <w:r w:rsidR="00064B7F" w:rsidRPr="00237D85">
        <w:t xml:space="preserve">uses international prevalence data for health disorders and disabilities to inform practice. </w:t>
      </w:r>
      <w:r w:rsidR="00064B7F" w:rsidRPr="003725BB">
        <w:t>Use of this data informed the de</w:t>
      </w:r>
      <w:r w:rsidR="00064B7F" w:rsidRPr="0085494F">
        <w:t>velopment, scale and funding of youth forensic mental health and addiction services</w:t>
      </w:r>
      <w:r w:rsidR="003C0FAE" w:rsidRPr="0085494F">
        <w:t xml:space="preserve"> that were implemented</w:t>
      </w:r>
      <w:r w:rsidR="003C0FAE" w:rsidRPr="00237D85">
        <w:t xml:space="preserve"> between 2011 – 2015.</w:t>
      </w:r>
      <w:r w:rsidR="00952303">
        <w:t xml:space="preserve"> </w:t>
      </w:r>
    </w:p>
    <w:p w:rsidR="003C0FAE" w:rsidRPr="00237D85" w:rsidRDefault="003C0FAE" w:rsidP="00320CC4">
      <w:pPr>
        <w:pStyle w:val="CRPD-subsectionheading"/>
        <w:spacing w:line="240" w:lineRule="auto"/>
      </w:pPr>
      <w:r w:rsidRPr="00237D85">
        <w:lastRenderedPageBreak/>
        <w:t>Our national data collection track</w:t>
      </w:r>
      <w:r w:rsidR="00F051F0">
        <w:t>s</w:t>
      </w:r>
      <w:r w:rsidRPr="00237D85">
        <w:t xml:space="preserve"> how many young people accessed </w:t>
      </w:r>
      <w:r w:rsidRPr="003725BB">
        <w:t>specialist forensic mental health services in</w:t>
      </w:r>
      <w:r w:rsidRPr="00237D85">
        <w:t xml:space="preserve"> each region (with demographic data) and how many contacts they had but not details of the intervention provided. </w:t>
      </w:r>
      <w:r w:rsidR="00F051F0">
        <w:t>T</w:t>
      </w:r>
      <w:r w:rsidR="00F051F0" w:rsidRPr="00E72650">
        <w:t>his</w:t>
      </w:r>
      <w:r w:rsidR="00F051F0" w:rsidRPr="00237D85">
        <w:t xml:space="preserve"> data is</w:t>
      </w:r>
      <w:r w:rsidR="00F051F0">
        <w:t xml:space="preserve"> </w:t>
      </w:r>
      <w:r w:rsidR="00F051F0" w:rsidRPr="00237D85">
        <w:t xml:space="preserve">incomplete </w:t>
      </w:r>
      <w:r w:rsidR="00F051F0">
        <w:t>as</w:t>
      </w:r>
      <w:r w:rsidR="00F051F0" w:rsidRPr="00237D85">
        <w:t xml:space="preserve"> </w:t>
      </w:r>
      <w:r w:rsidR="00FF123A">
        <w:t>we</w:t>
      </w:r>
      <w:r w:rsidR="00F051F0" w:rsidRPr="00237D85">
        <w:t xml:space="preserve"> </w:t>
      </w:r>
      <w:r w:rsidR="00F051F0">
        <w:t>cannot</w:t>
      </w:r>
      <w:r w:rsidR="00F051F0" w:rsidRPr="00237D85">
        <w:t xml:space="preserve"> access data from </w:t>
      </w:r>
      <w:r w:rsidR="00F051F0">
        <w:t xml:space="preserve">all </w:t>
      </w:r>
      <w:r w:rsidR="00F051F0" w:rsidRPr="00237D85">
        <w:t>service providers.</w:t>
      </w:r>
    </w:p>
    <w:p w:rsidR="008559A2" w:rsidRDefault="00031D62" w:rsidP="00320CC4">
      <w:pPr>
        <w:pStyle w:val="CRPD-subsectionheading"/>
        <w:spacing w:line="240" w:lineRule="auto"/>
      </w:pPr>
      <w:r>
        <w:t>W</w:t>
      </w:r>
      <w:r w:rsidR="003C0FAE" w:rsidRPr="00237D85">
        <w:t xml:space="preserve">e do not have </w:t>
      </w:r>
      <w:r w:rsidR="002D21E1">
        <w:t>NZ</w:t>
      </w:r>
      <w:r w:rsidR="003C0FAE" w:rsidRPr="00237D85">
        <w:t xml:space="preserve"> prevalence data</w:t>
      </w:r>
      <w:r>
        <w:t xml:space="preserve"> for youth offenders in the justice system that have </w:t>
      </w:r>
      <w:r w:rsidR="00DF249D">
        <w:t>neuro</w:t>
      </w:r>
      <w:r w:rsidRPr="00237D85">
        <w:t xml:space="preserve">developmental disorders (especially </w:t>
      </w:r>
      <w:r w:rsidR="007B1E46" w:rsidRPr="00237D85">
        <w:t>Foetal</w:t>
      </w:r>
      <w:r w:rsidRPr="00237D85">
        <w:t xml:space="preserve"> Alcohol Syndrome Disorder)</w:t>
      </w:r>
      <w:r>
        <w:t xml:space="preserve">. We do not </w:t>
      </w:r>
      <w:r w:rsidR="00EE17E8">
        <w:t xml:space="preserve">currently </w:t>
      </w:r>
      <w:r>
        <w:t xml:space="preserve">have </w:t>
      </w:r>
      <w:r w:rsidR="003C0FAE" w:rsidRPr="00237D85">
        <w:t xml:space="preserve">a comprehensive range of intervention and support services for this group. </w:t>
      </w:r>
    </w:p>
    <w:p w:rsidR="008559A2" w:rsidRDefault="003C0FAE" w:rsidP="00320CC4">
      <w:pPr>
        <w:pStyle w:val="CRPD-subsectionheading"/>
        <w:spacing w:line="240" w:lineRule="auto"/>
      </w:pPr>
      <w:r w:rsidRPr="00237D85">
        <w:t xml:space="preserve">The </w:t>
      </w:r>
      <w:r w:rsidR="00031D62">
        <w:t xml:space="preserve">Government </w:t>
      </w:r>
      <w:r w:rsidR="00EE17E8">
        <w:t>plans to</w:t>
      </w:r>
      <w:r w:rsidR="00031D62">
        <w:t xml:space="preserve"> collect </w:t>
      </w:r>
      <w:r w:rsidRPr="00237D85">
        <w:t>local prevalence rate</w:t>
      </w:r>
      <w:r w:rsidR="00031D62">
        <w:t>s</w:t>
      </w:r>
      <w:r w:rsidRPr="00237D85">
        <w:t xml:space="preserve"> for </w:t>
      </w:r>
      <w:r w:rsidR="007B1E46" w:rsidRPr="00237D85">
        <w:t>Foetal</w:t>
      </w:r>
      <w:r w:rsidRPr="00237D85">
        <w:t xml:space="preserve"> Alcohol Syndrome Disorder by using data from the</w:t>
      </w:r>
      <w:r w:rsidR="00EE17E8">
        <w:t xml:space="preserve"> longitudinal study:</w:t>
      </w:r>
      <w:r w:rsidRPr="00237D85">
        <w:t xml:space="preserve"> </w:t>
      </w:r>
      <w:r w:rsidRPr="003725BB">
        <w:rPr>
          <w:i/>
        </w:rPr>
        <w:t xml:space="preserve">Growing up in </w:t>
      </w:r>
      <w:r w:rsidR="002D21E1">
        <w:rPr>
          <w:i/>
        </w:rPr>
        <w:t>NZ</w:t>
      </w:r>
      <w:r w:rsidRPr="0085494F">
        <w:rPr>
          <w:i/>
        </w:rPr>
        <w:t xml:space="preserve"> Study</w:t>
      </w:r>
      <w:r w:rsidR="00EE17E8">
        <w:rPr>
          <w:rStyle w:val="FootnoteReference"/>
          <w:i/>
        </w:rPr>
        <w:footnoteReference w:id="111"/>
      </w:r>
      <w:r w:rsidR="00031D62">
        <w:t>. This will inform what services will be available</w:t>
      </w:r>
      <w:r w:rsidRPr="00237D85">
        <w:t xml:space="preserve">. </w:t>
      </w:r>
    </w:p>
    <w:p w:rsidR="00064B7F" w:rsidRPr="00237D85" w:rsidRDefault="00064B7F" w:rsidP="00320CC4">
      <w:pPr>
        <w:pStyle w:val="CRPD-Questionstyle"/>
        <w:widowControl w:val="0"/>
        <w:spacing w:line="240" w:lineRule="auto"/>
        <w:rPr>
          <w:lang w:val="en-NZ"/>
        </w:rPr>
      </w:pPr>
      <w:r w:rsidRPr="00237D85">
        <w:rPr>
          <w:lang w:val="en-NZ"/>
        </w:rPr>
        <w:tab/>
        <w:t>(d)</w:t>
      </w:r>
      <w:r w:rsidRPr="00237D85">
        <w:rPr>
          <w:lang w:val="en-NZ"/>
        </w:rPr>
        <w:tab/>
        <w:t>Measures taken to conduct training programmes on the Convention by the Institute of Judicial Studies, in cooperation with organizations of persons with disabilities, and on the rights of persons with disabilities who come before the State party’s courts and tribunals.</w:t>
      </w:r>
    </w:p>
    <w:p w:rsidR="00064B7F" w:rsidRPr="00237D85" w:rsidRDefault="00064B7F" w:rsidP="00320CC4">
      <w:pPr>
        <w:pStyle w:val="CRPD-subsectionheading"/>
        <w:spacing w:line="240" w:lineRule="auto"/>
      </w:pPr>
      <w:r w:rsidRPr="00237D85">
        <w:t xml:space="preserve">In </w:t>
      </w:r>
      <w:r w:rsidR="00F13B2F">
        <w:t xml:space="preserve">our first periodic review, </w:t>
      </w:r>
      <w:r w:rsidRPr="00237D85">
        <w:t xml:space="preserve">the Committee recommended that the Institute of Judicial Studies, with </w:t>
      </w:r>
      <w:r w:rsidR="0038539A" w:rsidRPr="00237D85">
        <w:t xml:space="preserve">the </w:t>
      </w:r>
      <w:r w:rsidR="00572608">
        <w:t>DPO Coalition</w:t>
      </w:r>
      <w:r w:rsidRPr="00237D85">
        <w:t xml:space="preserve">, run training programmes on the </w:t>
      </w:r>
      <w:r w:rsidR="003D1AC6" w:rsidRPr="00237D85">
        <w:t>CRPD</w:t>
      </w:r>
      <w:r w:rsidRPr="00237D85">
        <w:t xml:space="preserve"> and on the rights of </w:t>
      </w:r>
      <w:r w:rsidR="00F051F0">
        <w:t>disabled people</w:t>
      </w:r>
      <w:r w:rsidRPr="00237D85">
        <w:t xml:space="preserve"> who come before </w:t>
      </w:r>
      <w:r w:rsidR="002D21E1">
        <w:t>NZ</w:t>
      </w:r>
      <w:r w:rsidRPr="00237D85">
        <w:t xml:space="preserve">’s courts and tribunals. </w:t>
      </w:r>
    </w:p>
    <w:p w:rsidR="00064B7F" w:rsidRDefault="00064B7F" w:rsidP="00320CC4">
      <w:pPr>
        <w:pStyle w:val="CRPD-subsectionheading"/>
        <w:spacing w:line="240" w:lineRule="auto"/>
      </w:pPr>
      <w:r w:rsidRPr="00237D85">
        <w:t>The Government informed the Institute of Judicial Studies of this</w:t>
      </w:r>
      <w:r w:rsidR="005224B3" w:rsidRPr="00237D85">
        <w:t xml:space="preserve"> </w:t>
      </w:r>
      <w:r w:rsidRPr="00237D85">
        <w:t>recommendation</w:t>
      </w:r>
      <w:r w:rsidRPr="00237D85">
        <w:rPr>
          <w:rStyle w:val="FootnoteReference"/>
        </w:rPr>
        <w:footnoteReference w:id="112"/>
      </w:r>
      <w:r w:rsidRPr="00237D85">
        <w:t>.</w:t>
      </w:r>
      <w:r w:rsidR="001248AE">
        <w:t xml:space="preserve"> </w:t>
      </w:r>
    </w:p>
    <w:p w:rsidR="006F7302" w:rsidRPr="00237D85" w:rsidRDefault="006F7302" w:rsidP="00320CC4">
      <w:pPr>
        <w:pStyle w:val="CRPD-subsectionheading"/>
        <w:numPr>
          <w:ilvl w:val="0"/>
          <w:numId w:val="0"/>
        </w:numPr>
        <w:spacing w:line="240" w:lineRule="auto"/>
        <w:ind w:left="1530"/>
      </w:pPr>
    </w:p>
    <w:p w:rsidR="00064B7F" w:rsidRPr="00EE3301" w:rsidRDefault="00064B7F" w:rsidP="00320CC4">
      <w:pPr>
        <w:pStyle w:val="CRPD-Questionstyle"/>
        <w:widowControl w:val="0"/>
        <w:spacing w:line="240" w:lineRule="auto"/>
        <w:rPr>
          <w:rFonts w:ascii="Times New Roman" w:hAnsi="Times New Roman"/>
          <w:sz w:val="28"/>
          <w:szCs w:val="24"/>
        </w:rPr>
      </w:pPr>
      <w:r w:rsidRPr="00EE3301">
        <w:rPr>
          <w:rFonts w:ascii="Times New Roman" w:hAnsi="Times New Roman"/>
          <w:sz w:val="28"/>
          <w:szCs w:val="24"/>
        </w:rPr>
        <w:t xml:space="preserve">Liberty and security of the person (art. 14) </w:t>
      </w:r>
    </w:p>
    <w:p w:rsidR="00064B7F" w:rsidRPr="00237D85" w:rsidRDefault="00064B7F" w:rsidP="00320CC4">
      <w:pPr>
        <w:pStyle w:val="CRPD-Questionstyle"/>
        <w:widowControl w:val="0"/>
        <w:spacing w:line="240" w:lineRule="auto"/>
        <w:rPr>
          <w:lang w:val="en-NZ"/>
        </w:rPr>
      </w:pPr>
      <w:r w:rsidRPr="00237D85">
        <w:rPr>
          <w:lang w:val="en-NZ"/>
        </w:rPr>
        <w:t>13.</w:t>
      </w:r>
      <w:r w:rsidRPr="00237D85">
        <w:rPr>
          <w:lang w:val="en-NZ"/>
        </w:rPr>
        <w:tab/>
        <w:t xml:space="preserve"> </w:t>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Measures taken to ensure that all mental health services are provided on the basis of the free and informed consent of the person concerned, in accordance with the Convention;</w:t>
      </w:r>
    </w:p>
    <w:p w:rsidR="00EE17E8" w:rsidRDefault="00432F86" w:rsidP="00320CC4">
      <w:pPr>
        <w:pStyle w:val="CRPD-subsectionheading"/>
        <w:spacing w:line="240" w:lineRule="auto"/>
      </w:pPr>
      <w:r w:rsidRPr="00432F86">
        <w:t xml:space="preserve">In </w:t>
      </w:r>
      <w:r w:rsidR="00FF123A">
        <w:t xml:space="preserve">January </w:t>
      </w:r>
      <w:r w:rsidRPr="00432F86">
        <w:t xml:space="preserve">2018, the Government initiated the Inquiry into Mental Health and Addiction. </w:t>
      </w:r>
    </w:p>
    <w:p w:rsidR="00DB220C" w:rsidRPr="00104387" w:rsidRDefault="00DB220C" w:rsidP="00320CC4">
      <w:pPr>
        <w:pStyle w:val="CRPD-subsectionheading"/>
        <w:spacing w:line="240" w:lineRule="auto"/>
      </w:pPr>
      <w:r>
        <w:lastRenderedPageBreak/>
        <w:t xml:space="preserve">In November 2018, </w:t>
      </w:r>
      <w:r w:rsidR="00FF123A">
        <w:t>the Inquiry</w:t>
      </w:r>
      <w:r w:rsidRPr="00CB30F1">
        <w:t xml:space="preserve"> released its report </w:t>
      </w:r>
      <w:r w:rsidRPr="00CB30F1">
        <w:rPr>
          <w:i/>
        </w:rPr>
        <w:t>He Ara Oranga</w:t>
      </w:r>
      <w:r w:rsidR="00FF123A">
        <w:rPr>
          <w:rStyle w:val="FootnoteReference"/>
          <w:i/>
        </w:rPr>
        <w:footnoteReference w:id="113"/>
      </w:r>
      <w:r w:rsidRPr="00CB30F1">
        <w:t xml:space="preserve"> to Government</w:t>
      </w:r>
      <w:r>
        <w:rPr>
          <w:rStyle w:val="FootnoteReference"/>
        </w:rPr>
        <w:footnoteReference w:id="114"/>
      </w:r>
      <w:r>
        <w:t>.</w:t>
      </w:r>
      <w:r w:rsidRPr="00CB30F1">
        <w:t xml:space="preserve"> The report r</w:t>
      </w:r>
      <w:r>
        <w:t>ecommended to “r</w:t>
      </w:r>
      <w:r w:rsidRPr="00CB30F1">
        <w:t xml:space="preserve">epeal and replace the </w:t>
      </w:r>
      <w:r w:rsidRPr="00DB220C">
        <w:rPr>
          <w:i/>
        </w:rPr>
        <w:t xml:space="preserve">Mental Health (Compulsory Assessment and Treatment) Act 1992 </w:t>
      </w:r>
      <w:r w:rsidRPr="00CB30F1">
        <w:t>so that it reflects a human rights–based approach, promotes supported decision-making, aligns with the recovery and wellbeing model of mental health, and provides measures to minimise compulsory or coercive treatment.” The Government will formally respond to the Inquiry in March 2019.</w:t>
      </w:r>
    </w:p>
    <w:p w:rsidR="00432F86" w:rsidRPr="00432F86" w:rsidRDefault="00432F86" w:rsidP="00320CC4">
      <w:pPr>
        <w:pStyle w:val="CRPD-subsectionheading"/>
        <w:spacing w:line="240" w:lineRule="auto"/>
      </w:pPr>
      <w:r w:rsidRPr="00432F86">
        <w:t xml:space="preserve">Under the Mental Health Act, a person can be treated without their consent during the assessment period and the first month of a compulsory treatment order. A person cannot then be required to accept treatment without consent unless a psychiatrist who has been appointed by the Mental Health Review Tribunal considers the treatment to be in the interests of the patient. </w:t>
      </w:r>
    </w:p>
    <w:p w:rsidR="00DB220C" w:rsidRPr="00432F86" w:rsidRDefault="00DB220C" w:rsidP="00320CC4">
      <w:pPr>
        <w:pStyle w:val="CRPD-subsectionheading"/>
        <w:spacing w:line="240" w:lineRule="auto"/>
      </w:pPr>
      <w:r w:rsidRPr="00432F86">
        <w:t xml:space="preserve">In 2019, </w:t>
      </w:r>
      <w:r>
        <w:t>t</w:t>
      </w:r>
      <w:r w:rsidRPr="00432F86">
        <w:t>he Government initiated a review and revision of the guidelines implementing the Act</w:t>
      </w:r>
      <w:r w:rsidRPr="00432F86">
        <w:rPr>
          <w:b/>
        </w:rPr>
        <w:t xml:space="preserve"> </w:t>
      </w:r>
      <w:r w:rsidRPr="00432F86">
        <w:t>to align the application of the current legislation as closely as possible with the CRPD.</w:t>
      </w:r>
      <w:r w:rsidRPr="00DB220C">
        <w:t xml:space="preserve"> </w:t>
      </w:r>
      <w:r>
        <w:t>T</w:t>
      </w:r>
      <w:r w:rsidRPr="00432F86">
        <w:t>his will include a review of processes for consent and second opinions under the Act.</w:t>
      </w:r>
    </w:p>
    <w:p w:rsidR="00064B7F" w:rsidRPr="00432F86" w:rsidRDefault="00064B7F" w:rsidP="00320CC4">
      <w:pPr>
        <w:pStyle w:val="CRPD-Questionstyle"/>
        <w:widowControl w:val="0"/>
        <w:spacing w:line="240" w:lineRule="auto"/>
        <w:rPr>
          <w:lang w:val="en-NZ"/>
        </w:rPr>
      </w:pPr>
      <w:r w:rsidRPr="00237D85">
        <w:rPr>
          <w:lang w:val="en-NZ"/>
        </w:rPr>
        <w:tab/>
        <w:t>(b)</w:t>
      </w:r>
      <w:r w:rsidRPr="00237D85">
        <w:rPr>
          <w:lang w:val="en-NZ"/>
        </w:rPr>
        <w:tab/>
        <w:t xml:space="preserve">Steps taken to bring the Mental Health (Compulsory Assessment and Treatment) Act 1992 into line with the Convention, and to prevent arbitrary deprivation of liberty on the basis of impairment and presumed dangerousness to themselves or </w:t>
      </w:r>
      <w:r w:rsidRPr="00432F86">
        <w:rPr>
          <w:lang w:val="en-NZ"/>
        </w:rPr>
        <w:t>others, including the assumed risk of suicide and/or substance addiction;</w:t>
      </w:r>
    </w:p>
    <w:p w:rsidR="00373067" w:rsidRPr="00373067" w:rsidRDefault="00432F86" w:rsidP="00320CC4">
      <w:pPr>
        <w:pStyle w:val="CRPD-subsectionheading"/>
        <w:spacing w:line="240" w:lineRule="auto"/>
        <w:rPr>
          <w:b/>
        </w:rPr>
      </w:pPr>
      <w:r w:rsidRPr="00432F86">
        <w:t xml:space="preserve">The Government examined how the Mental Health Act relates to the </w:t>
      </w:r>
      <w:r w:rsidRPr="00373067">
        <w:rPr>
          <w:i/>
        </w:rPr>
        <w:t>NZ Bill of Rights Act 1990</w:t>
      </w:r>
      <w:r w:rsidRPr="00432F86">
        <w:t xml:space="preserve"> and the CRPD in 2017</w:t>
      </w:r>
      <w:r w:rsidRPr="00432F86">
        <w:rPr>
          <w:rStyle w:val="FootnoteReference"/>
        </w:rPr>
        <w:footnoteReference w:id="115"/>
      </w:r>
      <w:r w:rsidRPr="00432F86">
        <w:t xml:space="preserve">. </w:t>
      </w:r>
      <w:r w:rsidR="00373067">
        <w:t xml:space="preserve">See question 13(a) </w:t>
      </w:r>
      <w:r w:rsidR="00373067" w:rsidRPr="00CA49CA">
        <w:t xml:space="preserve">regarding a recommendation to </w:t>
      </w:r>
      <w:r w:rsidR="00373067" w:rsidRPr="00E63D27">
        <w:t xml:space="preserve">replace the </w:t>
      </w:r>
      <w:r w:rsidR="00373067" w:rsidRPr="007572F6">
        <w:t xml:space="preserve">Mental Health Act. </w:t>
      </w:r>
      <w:r w:rsidR="00373067" w:rsidRPr="00CA49CA">
        <w:t xml:space="preserve"> </w:t>
      </w:r>
    </w:p>
    <w:p w:rsidR="00432F86" w:rsidRPr="00027302" w:rsidRDefault="00432F86" w:rsidP="00320CC4">
      <w:pPr>
        <w:pStyle w:val="CRPD-subsectionheading"/>
        <w:spacing w:line="240" w:lineRule="auto"/>
      </w:pPr>
      <w:r w:rsidRPr="00432F86">
        <w:t>The Act includes provisions to enable an individual to request the legality of their detention to be assessed. See question 13(c).</w:t>
      </w:r>
    </w:p>
    <w:p w:rsidR="00064B7F" w:rsidRPr="00237D85" w:rsidRDefault="00064B7F" w:rsidP="00320CC4">
      <w:pPr>
        <w:pStyle w:val="CRPD-Questionstyle"/>
        <w:widowControl w:val="0"/>
        <w:spacing w:line="240" w:lineRule="auto"/>
        <w:rPr>
          <w:lang w:val="en-NZ"/>
        </w:rPr>
      </w:pPr>
      <w:r w:rsidRPr="00237D85">
        <w:rPr>
          <w:lang w:val="en-NZ"/>
        </w:rPr>
        <w:tab/>
        <w:t>(c)</w:t>
      </w:r>
      <w:r w:rsidRPr="00237D85">
        <w:rPr>
          <w:lang w:val="en-NZ"/>
        </w:rPr>
        <w:tab/>
        <w:t xml:space="preserve">Legal remedies available for persons with </w:t>
      </w:r>
      <w:r w:rsidRPr="00237D85">
        <w:rPr>
          <w:lang w:val="en-NZ"/>
        </w:rPr>
        <w:lastRenderedPageBreak/>
        <w:t>disabilities to request the assessment of the legality of their deprivation of liberty, and measures taken to promote the deinstitutionalization of persons with disabilities who have been unlawfully deprived of their liberty;</w:t>
      </w:r>
    </w:p>
    <w:p w:rsidR="00104387" w:rsidRDefault="00104387" w:rsidP="00320CC4">
      <w:pPr>
        <w:pStyle w:val="CRPD-subsectionheading"/>
        <w:spacing w:line="240" w:lineRule="auto"/>
      </w:pPr>
      <w:r>
        <w:t>In NZ</w:t>
      </w:r>
      <w:r w:rsidRPr="00104387">
        <w:t xml:space="preserve">, a person may be deprived of their liberty for compulsory mental health treatment or if they have been found guilty of a crime. Restrictions on liberty must be the minimum necessary to ensure effective treatment, and protect the safety of the individual and others. </w:t>
      </w:r>
    </w:p>
    <w:p w:rsidR="000873F8" w:rsidRDefault="000873F8" w:rsidP="00320CC4">
      <w:pPr>
        <w:pStyle w:val="CRPD-subsectionheading"/>
        <w:spacing w:line="240" w:lineRule="auto"/>
      </w:pPr>
      <w:r>
        <w:t>Any person</w:t>
      </w:r>
      <w:r w:rsidRPr="000873F8">
        <w:t xml:space="preserve"> </w:t>
      </w:r>
      <w:r>
        <w:t>can</w:t>
      </w:r>
      <w:r w:rsidRPr="000873F8">
        <w:t xml:space="preserve"> apply for the writ of habeas corpus when detained by Police or Corrections in order to test the legality of their detention</w:t>
      </w:r>
      <w:r>
        <w:t>.</w:t>
      </w:r>
    </w:p>
    <w:p w:rsidR="00CB30F1" w:rsidRDefault="00104387" w:rsidP="00320CC4">
      <w:pPr>
        <w:pStyle w:val="CRPD-subsectionheading"/>
        <w:spacing w:line="240" w:lineRule="auto"/>
      </w:pPr>
      <w:r w:rsidRPr="00104387">
        <w:t xml:space="preserve">A person held under the </w:t>
      </w:r>
      <w:r w:rsidRPr="00104387">
        <w:rPr>
          <w:i/>
        </w:rPr>
        <w:t>Mental Health (Compulsory Assessment and Treatment) Act 1992</w:t>
      </w:r>
      <w:r w:rsidRPr="00104387">
        <w:t xml:space="preserve"> can </w:t>
      </w:r>
      <w:r w:rsidR="00CB30F1">
        <w:t>apply</w:t>
      </w:r>
      <w:r w:rsidRPr="00104387">
        <w:t xml:space="preserve"> to the Mental Health Review Tribunal for a review</w:t>
      </w:r>
      <w:r w:rsidR="00CB30F1">
        <w:t xml:space="preserve"> of their condition</w:t>
      </w:r>
      <w:r w:rsidR="00DB220C" w:rsidRPr="00DB220C">
        <w:rPr>
          <w:rStyle w:val="FootnoteReference"/>
        </w:rPr>
        <w:t xml:space="preserve"> </w:t>
      </w:r>
      <w:r w:rsidR="00DB220C" w:rsidRPr="00104387">
        <w:rPr>
          <w:rStyle w:val="FootnoteReference"/>
        </w:rPr>
        <w:footnoteReference w:id="116"/>
      </w:r>
      <w:r w:rsidRPr="00104387">
        <w:t xml:space="preserve">. </w:t>
      </w:r>
    </w:p>
    <w:p w:rsidR="00104387" w:rsidRPr="00DB220C" w:rsidRDefault="007C3EAB" w:rsidP="00320CC4">
      <w:pPr>
        <w:pStyle w:val="CRPD-Questionstyle"/>
        <w:spacing w:line="240" w:lineRule="auto"/>
      </w:pPr>
      <w:r w:rsidRPr="00DB220C">
        <w:t xml:space="preserve">Table: </w:t>
      </w:r>
      <w:r w:rsidR="00104387" w:rsidRPr="00DB220C">
        <w:t xml:space="preserve">Data on the </w:t>
      </w:r>
      <w:r w:rsidR="00B27C1A">
        <w:t>Mental Health Review T</w:t>
      </w:r>
      <w:r w:rsidRPr="00DB220C">
        <w:t>ribunal’s decisions</w:t>
      </w:r>
      <w:r w:rsidR="00104387" w:rsidRPr="00DB220C">
        <w:rPr>
          <w:rStyle w:val="FootnoteReference"/>
          <w:b w:val="0"/>
        </w:rPr>
        <w:footnoteReference w:id="117"/>
      </w:r>
      <w:r w:rsidR="00104387" w:rsidRPr="00DB220C">
        <w:t xml:space="preserve">  </w:t>
      </w:r>
    </w:p>
    <w:tbl>
      <w:tblPr>
        <w:tblStyle w:val="TableGridLight1"/>
        <w:tblW w:w="4118" w:type="pct"/>
        <w:tblInd w:w="1242" w:type="dxa"/>
        <w:tblLayout w:type="fixed"/>
        <w:tblLook w:val="04A0" w:firstRow="1" w:lastRow="0" w:firstColumn="1" w:lastColumn="0" w:noHBand="0" w:noVBand="1"/>
      </w:tblPr>
      <w:tblGrid>
        <w:gridCol w:w="3686"/>
        <w:gridCol w:w="1135"/>
        <w:gridCol w:w="1133"/>
        <w:gridCol w:w="1135"/>
        <w:gridCol w:w="1028"/>
      </w:tblGrid>
      <w:tr w:rsidR="00B27C1A" w:rsidRPr="00DF1D96" w:rsidTr="001F434B">
        <w:trPr>
          <w:trHeight w:val="283"/>
        </w:trPr>
        <w:tc>
          <w:tcPr>
            <w:tcW w:w="2271" w:type="pct"/>
          </w:tcPr>
          <w:p w:rsidR="00B27C1A" w:rsidRPr="00DF1D96" w:rsidRDefault="00B27C1A" w:rsidP="00320CC4">
            <w:pPr>
              <w:widowControl w:val="0"/>
              <w:spacing w:line="240" w:lineRule="auto"/>
              <w:jc w:val="both"/>
              <w:rPr>
                <w:rFonts w:ascii="Verdana" w:hAnsi="Verdana"/>
                <w:b/>
                <w:sz w:val="24"/>
              </w:rPr>
            </w:pPr>
            <w:r w:rsidRPr="00DF1D96">
              <w:rPr>
                <w:rFonts w:ascii="Verdana" w:hAnsi="Verdana"/>
                <w:b/>
                <w:sz w:val="24"/>
              </w:rPr>
              <w:t>Year</w:t>
            </w:r>
          </w:p>
        </w:tc>
        <w:tc>
          <w:tcPr>
            <w:tcW w:w="699" w:type="pct"/>
          </w:tcPr>
          <w:p w:rsidR="00B27C1A" w:rsidRPr="00DF1D96" w:rsidRDefault="00B27C1A" w:rsidP="00320CC4">
            <w:pPr>
              <w:widowControl w:val="0"/>
              <w:spacing w:line="240" w:lineRule="auto"/>
              <w:jc w:val="both"/>
              <w:rPr>
                <w:rFonts w:ascii="Verdana" w:hAnsi="Verdana"/>
                <w:b/>
                <w:sz w:val="24"/>
              </w:rPr>
            </w:pPr>
            <w:r w:rsidRPr="00DF1D96">
              <w:rPr>
                <w:rFonts w:ascii="Verdana" w:hAnsi="Verdana"/>
                <w:b/>
                <w:sz w:val="24"/>
              </w:rPr>
              <w:t>2014/15</w:t>
            </w:r>
          </w:p>
        </w:tc>
        <w:tc>
          <w:tcPr>
            <w:tcW w:w="698" w:type="pct"/>
          </w:tcPr>
          <w:p w:rsidR="00B27C1A" w:rsidRPr="00DF1D96" w:rsidRDefault="00B27C1A" w:rsidP="00320CC4">
            <w:pPr>
              <w:widowControl w:val="0"/>
              <w:spacing w:line="240" w:lineRule="auto"/>
              <w:jc w:val="both"/>
              <w:rPr>
                <w:rFonts w:ascii="Verdana" w:hAnsi="Verdana"/>
                <w:b/>
                <w:sz w:val="24"/>
              </w:rPr>
            </w:pPr>
            <w:r w:rsidRPr="00DF1D96">
              <w:rPr>
                <w:rFonts w:ascii="Verdana" w:hAnsi="Verdana"/>
                <w:b/>
                <w:sz w:val="24"/>
              </w:rPr>
              <w:t>2015/16</w:t>
            </w:r>
          </w:p>
        </w:tc>
        <w:tc>
          <w:tcPr>
            <w:tcW w:w="699" w:type="pct"/>
          </w:tcPr>
          <w:p w:rsidR="00B27C1A" w:rsidRPr="00DF1D96" w:rsidRDefault="00B27C1A" w:rsidP="00320CC4">
            <w:pPr>
              <w:widowControl w:val="0"/>
              <w:spacing w:line="240" w:lineRule="auto"/>
              <w:jc w:val="both"/>
              <w:rPr>
                <w:rFonts w:ascii="Verdana" w:hAnsi="Verdana"/>
                <w:b/>
                <w:sz w:val="24"/>
              </w:rPr>
            </w:pPr>
            <w:r w:rsidRPr="00DF1D96">
              <w:rPr>
                <w:rFonts w:ascii="Verdana" w:hAnsi="Verdana"/>
                <w:b/>
                <w:sz w:val="24"/>
              </w:rPr>
              <w:t>2016/17</w:t>
            </w:r>
          </w:p>
        </w:tc>
        <w:tc>
          <w:tcPr>
            <w:tcW w:w="634" w:type="pct"/>
          </w:tcPr>
          <w:p w:rsidR="00B27C1A" w:rsidRPr="00DF1D96" w:rsidRDefault="00B27C1A" w:rsidP="00320CC4">
            <w:pPr>
              <w:widowControl w:val="0"/>
              <w:spacing w:line="240" w:lineRule="auto"/>
              <w:jc w:val="both"/>
              <w:rPr>
                <w:rFonts w:ascii="Verdana" w:hAnsi="Verdana"/>
                <w:b/>
                <w:sz w:val="24"/>
              </w:rPr>
            </w:pPr>
            <w:r w:rsidRPr="00DF1D96">
              <w:rPr>
                <w:rFonts w:ascii="Verdana" w:hAnsi="Verdana"/>
                <w:b/>
                <w:sz w:val="24"/>
              </w:rPr>
              <w:t>2017/18</w:t>
            </w:r>
          </w:p>
        </w:tc>
      </w:tr>
      <w:tr w:rsidR="00B27C1A" w:rsidRPr="00DF1D96" w:rsidTr="001F434B">
        <w:trPr>
          <w:trHeight w:val="992"/>
        </w:trPr>
        <w:tc>
          <w:tcPr>
            <w:tcW w:w="2271"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Number of applications heard for a review of status (s.79 Mental Health Act)</w:t>
            </w:r>
          </w:p>
        </w:tc>
        <w:tc>
          <w:tcPr>
            <w:tcW w:w="699"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62</w:t>
            </w:r>
          </w:p>
        </w:tc>
        <w:tc>
          <w:tcPr>
            <w:tcW w:w="698"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62</w:t>
            </w:r>
          </w:p>
        </w:tc>
        <w:tc>
          <w:tcPr>
            <w:tcW w:w="699"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69</w:t>
            </w:r>
          </w:p>
        </w:tc>
        <w:tc>
          <w:tcPr>
            <w:tcW w:w="634"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63</w:t>
            </w:r>
          </w:p>
        </w:tc>
      </w:tr>
      <w:tr w:rsidR="00B27C1A" w:rsidRPr="00DF1D96" w:rsidTr="001F434B">
        <w:trPr>
          <w:trHeight w:val="967"/>
        </w:trPr>
        <w:tc>
          <w:tcPr>
            <w:tcW w:w="2271"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Number of applications found ‘not fit to be released from compulsory status’</w:t>
            </w:r>
          </w:p>
        </w:tc>
        <w:tc>
          <w:tcPr>
            <w:tcW w:w="699"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57</w:t>
            </w:r>
          </w:p>
        </w:tc>
        <w:tc>
          <w:tcPr>
            <w:tcW w:w="698"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56</w:t>
            </w:r>
          </w:p>
        </w:tc>
        <w:tc>
          <w:tcPr>
            <w:tcW w:w="699"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63</w:t>
            </w:r>
          </w:p>
        </w:tc>
        <w:tc>
          <w:tcPr>
            <w:tcW w:w="634"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58</w:t>
            </w:r>
          </w:p>
        </w:tc>
      </w:tr>
      <w:tr w:rsidR="00B27C1A" w:rsidRPr="00DF1D96" w:rsidTr="001F434B">
        <w:trPr>
          <w:trHeight w:val="978"/>
        </w:trPr>
        <w:tc>
          <w:tcPr>
            <w:tcW w:w="2271"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Number of applications found ‘fit to be released from compulsory status’</w:t>
            </w:r>
          </w:p>
        </w:tc>
        <w:tc>
          <w:tcPr>
            <w:tcW w:w="699"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5</w:t>
            </w:r>
          </w:p>
        </w:tc>
        <w:tc>
          <w:tcPr>
            <w:tcW w:w="698"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6</w:t>
            </w:r>
          </w:p>
        </w:tc>
        <w:tc>
          <w:tcPr>
            <w:tcW w:w="699"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6</w:t>
            </w:r>
          </w:p>
        </w:tc>
        <w:tc>
          <w:tcPr>
            <w:tcW w:w="634" w:type="pct"/>
          </w:tcPr>
          <w:p w:rsidR="00B27C1A" w:rsidRPr="00DF1D96" w:rsidRDefault="00B27C1A" w:rsidP="00320CC4">
            <w:pPr>
              <w:widowControl w:val="0"/>
              <w:spacing w:line="240" w:lineRule="auto"/>
              <w:jc w:val="both"/>
              <w:rPr>
                <w:rFonts w:ascii="Verdana" w:hAnsi="Verdana"/>
                <w:sz w:val="24"/>
              </w:rPr>
            </w:pPr>
            <w:r w:rsidRPr="00DF1D96">
              <w:rPr>
                <w:rFonts w:ascii="Verdana" w:hAnsi="Verdana"/>
                <w:sz w:val="24"/>
              </w:rPr>
              <w:t>5</w:t>
            </w:r>
          </w:p>
        </w:tc>
      </w:tr>
    </w:tbl>
    <w:p w:rsidR="00104387" w:rsidRPr="00104387" w:rsidRDefault="00104387" w:rsidP="00320CC4">
      <w:pPr>
        <w:pStyle w:val="CRPD-subsectionheading"/>
        <w:spacing w:line="240" w:lineRule="auto"/>
      </w:pPr>
      <w:r w:rsidRPr="00104387">
        <w:t>They can also seek:</w:t>
      </w:r>
    </w:p>
    <w:p w:rsidR="00104387" w:rsidRPr="00104387" w:rsidRDefault="00104387" w:rsidP="00320CC4">
      <w:pPr>
        <w:pStyle w:val="CRPDStateParty-bullets"/>
        <w:widowControl w:val="0"/>
        <w:spacing w:line="240" w:lineRule="auto"/>
        <w:rPr>
          <w:lang w:val="en-NZ"/>
        </w:rPr>
      </w:pPr>
      <w:r w:rsidRPr="00104387">
        <w:rPr>
          <w:lang w:val="en-NZ"/>
        </w:rPr>
        <w:t>independent psychiatric advice to get a second opinion on their condition</w:t>
      </w:r>
    </w:p>
    <w:p w:rsidR="00104387" w:rsidRPr="00104387" w:rsidRDefault="00104387" w:rsidP="00320CC4">
      <w:pPr>
        <w:pStyle w:val="CRPDStateParty-bullets"/>
        <w:widowControl w:val="0"/>
        <w:spacing w:line="240" w:lineRule="auto"/>
      </w:pPr>
      <w:r w:rsidRPr="00104387">
        <w:rPr>
          <w:lang w:val="en-NZ"/>
        </w:rPr>
        <w:t>the free services of a District Inspector</w:t>
      </w:r>
      <w:r w:rsidR="00FF123A">
        <w:rPr>
          <w:rStyle w:val="FootnoteReference"/>
          <w:lang w:val="en-NZ"/>
        </w:rPr>
        <w:footnoteReference w:id="118"/>
      </w:r>
      <w:r w:rsidRPr="00104387">
        <w:rPr>
          <w:lang w:val="en-NZ"/>
        </w:rPr>
        <w:t xml:space="preserve"> who can investigate complaints from people who are subject to the Mental Health Act. </w:t>
      </w:r>
    </w:p>
    <w:p w:rsidR="00104387" w:rsidRPr="00104387" w:rsidRDefault="00104387" w:rsidP="00320CC4">
      <w:pPr>
        <w:pStyle w:val="CRPDStateParty-bullets"/>
        <w:widowControl w:val="0"/>
        <w:spacing w:line="240" w:lineRule="auto"/>
      </w:pPr>
      <w:r w:rsidRPr="00104387">
        <w:t>Other protections include that:</w:t>
      </w:r>
    </w:p>
    <w:p w:rsidR="00104387" w:rsidRPr="00104387" w:rsidRDefault="00B27C1A" w:rsidP="00320CC4">
      <w:pPr>
        <w:pStyle w:val="CRPDStateParty-bullets"/>
        <w:widowControl w:val="0"/>
        <w:numPr>
          <w:ilvl w:val="1"/>
          <w:numId w:val="6"/>
        </w:numPr>
        <w:spacing w:line="240" w:lineRule="auto"/>
        <w:rPr>
          <w:lang w:val="en-NZ"/>
        </w:rPr>
      </w:pPr>
      <w:r>
        <w:rPr>
          <w:lang w:val="en-NZ"/>
        </w:rPr>
        <w:lastRenderedPageBreak/>
        <w:t>a</w:t>
      </w:r>
      <w:r w:rsidR="00104387" w:rsidRPr="00104387">
        <w:rPr>
          <w:lang w:val="en-NZ"/>
        </w:rPr>
        <w:t xml:space="preserve"> judge must agree to any assessment or treatment beyond t</w:t>
      </w:r>
      <w:r>
        <w:rPr>
          <w:lang w:val="en-NZ"/>
        </w:rPr>
        <w:t>he initial periods of detention</w:t>
      </w:r>
    </w:p>
    <w:p w:rsidR="00104387" w:rsidRPr="00104387" w:rsidRDefault="00B27C1A" w:rsidP="00320CC4">
      <w:pPr>
        <w:pStyle w:val="CRPDStateParty-bullets"/>
        <w:widowControl w:val="0"/>
        <w:numPr>
          <w:ilvl w:val="1"/>
          <w:numId w:val="6"/>
        </w:numPr>
        <w:spacing w:line="240" w:lineRule="auto"/>
      </w:pPr>
      <w:r>
        <w:rPr>
          <w:lang w:val="en-NZ"/>
        </w:rPr>
        <w:t xml:space="preserve">a Responsible Clinician </w:t>
      </w:r>
      <w:r w:rsidR="00104387" w:rsidRPr="00104387">
        <w:rPr>
          <w:lang w:val="en-NZ"/>
        </w:rPr>
        <w:t>can convert an inpatient treatment order into a community treatment order at any time. The R</w:t>
      </w:r>
      <w:r>
        <w:rPr>
          <w:lang w:val="en-NZ"/>
        </w:rPr>
        <w:t xml:space="preserve">esponsible </w:t>
      </w:r>
      <w:r w:rsidR="00104387" w:rsidRPr="00104387">
        <w:rPr>
          <w:lang w:val="en-NZ"/>
        </w:rPr>
        <w:t>C</w:t>
      </w:r>
      <w:r>
        <w:rPr>
          <w:lang w:val="en-NZ"/>
        </w:rPr>
        <w:t>linician</w:t>
      </w:r>
      <w:r w:rsidR="00104387" w:rsidRPr="00104387">
        <w:rPr>
          <w:lang w:val="en-NZ"/>
        </w:rPr>
        <w:t xml:space="preserve"> must review the person’s condi</w:t>
      </w:r>
      <w:r>
        <w:rPr>
          <w:lang w:val="en-NZ"/>
        </w:rPr>
        <w:t>tion every six months</w:t>
      </w:r>
      <w:r w:rsidR="00104387" w:rsidRPr="00104387">
        <w:t xml:space="preserve"> </w:t>
      </w:r>
    </w:p>
    <w:p w:rsidR="00104387" w:rsidRDefault="00B27C1A" w:rsidP="00320CC4">
      <w:pPr>
        <w:pStyle w:val="CRPDStateParty-bullets"/>
        <w:widowControl w:val="0"/>
        <w:numPr>
          <w:ilvl w:val="1"/>
          <w:numId w:val="6"/>
        </w:numPr>
        <w:spacing w:line="240" w:lineRule="auto"/>
        <w:rPr>
          <w:lang w:val="en-NZ"/>
        </w:rPr>
      </w:pPr>
      <w:r>
        <w:rPr>
          <w:lang w:val="en-NZ"/>
        </w:rPr>
        <w:t>t</w:t>
      </w:r>
      <w:r w:rsidR="00104387" w:rsidRPr="00104387">
        <w:rPr>
          <w:lang w:val="en-NZ"/>
        </w:rPr>
        <w:t xml:space="preserve">he person will be released if found fit either by the Judge, the Mental Health Review Tribunal or the </w:t>
      </w:r>
      <w:r w:rsidRPr="00104387">
        <w:rPr>
          <w:lang w:val="en-NZ"/>
        </w:rPr>
        <w:t>R</w:t>
      </w:r>
      <w:r>
        <w:rPr>
          <w:lang w:val="en-NZ"/>
        </w:rPr>
        <w:t xml:space="preserve">esponsible </w:t>
      </w:r>
      <w:r w:rsidRPr="00104387">
        <w:rPr>
          <w:lang w:val="en-NZ"/>
        </w:rPr>
        <w:t>C</w:t>
      </w:r>
      <w:r>
        <w:rPr>
          <w:lang w:val="en-NZ"/>
        </w:rPr>
        <w:t>linician</w:t>
      </w:r>
      <w:r w:rsidR="00104387" w:rsidRPr="00104387">
        <w:rPr>
          <w:lang w:val="en-NZ"/>
        </w:rPr>
        <w:t>.</w:t>
      </w:r>
    </w:p>
    <w:p w:rsidR="00104387" w:rsidRPr="00104387" w:rsidRDefault="00104387" w:rsidP="00320CC4">
      <w:pPr>
        <w:pStyle w:val="CRPD-subsectionheading"/>
        <w:spacing w:line="240" w:lineRule="auto"/>
      </w:pPr>
      <w:r w:rsidRPr="00104387">
        <w:t xml:space="preserve">A person with an intellectual disability in the criminal justice system subject to the </w:t>
      </w:r>
      <w:r w:rsidRPr="00104387">
        <w:rPr>
          <w:i/>
        </w:rPr>
        <w:t>Intellectual Disability (Compulsory Care and Rehabilitation) Act 2003</w:t>
      </w:r>
      <w:r w:rsidRPr="00104387">
        <w:t xml:space="preserve"> can:</w:t>
      </w:r>
    </w:p>
    <w:p w:rsidR="00104387" w:rsidRPr="00104387" w:rsidRDefault="00104387" w:rsidP="00320CC4">
      <w:pPr>
        <w:pStyle w:val="CRPDStateParty-bullets"/>
        <w:widowControl w:val="0"/>
        <w:spacing w:line="240" w:lineRule="auto"/>
        <w:rPr>
          <w:lang w:val="en-NZ"/>
        </w:rPr>
      </w:pPr>
      <w:r w:rsidRPr="00104387">
        <w:rPr>
          <w:lang w:val="en-NZ"/>
        </w:rPr>
        <w:t>appeal their placement with legal representation</w:t>
      </w:r>
    </w:p>
    <w:p w:rsidR="00104387" w:rsidRPr="00104387" w:rsidRDefault="00104387" w:rsidP="00320CC4">
      <w:pPr>
        <w:pStyle w:val="CRPDStateParty-bullets"/>
        <w:widowControl w:val="0"/>
        <w:spacing w:line="240" w:lineRule="auto"/>
        <w:rPr>
          <w:lang w:val="en-NZ"/>
        </w:rPr>
      </w:pPr>
      <w:r w:rsidRPr="00104387">
        <w:rPr>
          <w:lang w:val="en-NZ"/>
        </w:rPr>
        <w:t xml:space="preserve">seek a second opinion on the use of medication whilst they are under compulsory care </w:t>
      </w:r>
    </w:p>
    <w:p w:rsidR="00104387" w:rsidRPr="00104387" w:rsidRDefault="00104387" w:rsidP="00320CC4">
      <w:pPr>
        <w:pStyle w:val="CRPDStateParty-bullets"/>
        <w:widowControl w:val="0"/>
        <w:spacing w:line="240" w:lineRule="auto"/>
        <w:rPr>
          <w:lang w:val="en-NZ"/>
        </w:rPr>
      </w:pPr>
      <w:r w:rsidRPr="00104387">
        <w:rPr>
          <w:lang w:val="en-NZ"/>
        </w:rPr>
        <w:t>other safeguards include: reviews of their ongoing need for care and rehabilitation every six months, compulsory care co-ordinator reports to the Family Court</w:t>
      </w:r>
      <w:r w:rsidRPr="00104387">
        <w:rPr>
          <w:rStyle w:val="FootnoteReference"/>
          <w:lang w:val="en-NZ"/>
        </w:rPr>
        <w:footnoteReference w:id="119"/>
      </w:r>
      <w:r w:rsidRPr="00104387">
        <w:rPr>
          <w:lang w:val="en-NZ"/>
        </w:rPr>
        <w:t>, Family Court reviews</w:t>
      </w:r>
      <w:r w:rsidRPr="00104387">
        <w:rPr>
          <w:rStyle w:val="FootnoteReference"/>
          <w:lang w:val="en-NZ"/>
        </w:rPr>
        <w:footnoteReference w:id="120"/>
      </w:r>
      <w:r w:rsidRPr="00104387">
        <w:rPr>
          <w:lang w:val="en-NZ"/>
        </w:rPr>
        <w:t>, regular clinical reviews</w:t>
      </w:r>
      <w:r w:rsidRPr="00104387">
        <w:rPr>
          <w:rStyle w:val="FootnoteReference"/>
          <w:lang w:val="en-NZ"/>
        </w:rPr>
        <w:footnoteReference w:id="121"/>
      </w:r>
      <w:r w:rsidRPr="00104387">
        <w:rPr>
          <w:lang w:val="en-NZ"/>
        </w:rPr>
        <w:t>, inquiries by judges (either on application or on their own initiative)</w:t>
      </w:r>
      <w:r w:rsidRPr="00104387">
        <w:rPr>
          <w:rStyle w:val="FootnoteReference"/>
          <w:lang w:val="en-NZ"/>
        </w:rPr>
        <w:footnoteReference w:id="122"/>
      </w:r>
      <w:r w:rsidRPr="00104387">
        <w:rPr>
          <w:lang w:val="en-NZ"/>
        </w:rPr>
        <w:t>.</w:t>
      </w:r>
    </w:p>
    <w:p w:rsidR="00064B7F" w:rsidRPr="00237D85" w:rsidRDefault="00064B7F" w:rsidP="00320CC4">
      <w:pPr>
        <w:pStyle w:val="CRPD-Questionstyle"/>
        <w:widowControl w:val="0"/>
        <w:spacing w:line="240" w:lineRule="auto"/>
        <w:rPr>
          <w:lang w:val="en-NZ"/>
        </w:rPr>
      </w:pPr>
      <w:r w:rsidRPr="00237D85">
        <w:rPr>
          <w:lang w:val="en-NZ"/>
        </w:rPr>
        <w:tab/>
        <w:t>(d)</w:t>
      </w:r>
      <w:r w:rsidRPr="00237D85">
        <w:rPr>
          <w:lang w:val="en-NZ"/>
        </w:rPr>
        <w:tab/>
        <w:t>The results of the review of the criminal justice systems, and measures taken to ensure that criminal procedures respect all the safeguards and guarantees that are applicable to non-disabled persons, including that deprivation of liberty should be applied as a matter of last resort.</w:t>
      </w:r>
    </w:p>
    <w:p w:rsidR="00247654" w:rsidRDefault="00064B7F" w:rsidP="00320CC4">
      <w:pPr>
        <w:pStyle w:val="CRPD-subsectionheading"/>
        <w:spacing w:line="240" w:lineRule="auto"/>
      </w:pPr>
      <w:r w:rsidRPr="00237D85">
        <w:t>There has been no review of the criminal justice system</w:t>
      </w:r>
      <w:r w:rsidR="000D4810">
        <w:t xml:space="preserve"> for this purpose. </w:t>
      </w:r>
    </w:p>
    <w:p w:rsidR="001974ED" w:rsidRPr="00237D85" w:rsidRDefault="00064B7F" w:rsidP="00320CC4">
      <w:pPr>
        <w:pStyle w:val="CRPD-subsectionheading"/>
        <w:spacing w:line="240" w:lineRule="auto"/>
      </w:pPr>
      <w:r w:rsidRPr="00237D85">
        <w:lastRenderedPageBreak/>
        <w:t xml:space="preserve">The </w:t>
      </w:r>
      <w:r w:rsidRPr="00237D85">
        <w:rPr>
          <w:i/>
        </w:rPr>
        <w:t>Criminal Procedure (Mentally Impaired Persons) Act 2003</w:t>
      </w:r>
      <w:r w:rsidRPr="00237D85">
        <w:t xml:space="preserve"> requires a </w:t>
      </w:r>
      <w:r w:rsidR="001974ED" w:rsidRPr="00237D85">
        <w:t>person</w:t>
      </w:r>
      <w:r w:rsidR="001974ED">
        <w:t xml:space="preserve"> who is unfit to stand trial</w:t>
      </w:r>
      <w:r w:rsidR="001974ED" w:rsidRPr="00237D85">
        <w:t xml:space="preserve"> to </w:t>
      </w:r>
      <w:r w:rsidR="001974ED">
        <w:t>be</w:t>
      </w:r>
      <w:r w:rsidR="001974ED" w:rsidRPr="00237D85">
        <w:t xml:space="preserve"> found </w:t>
      </w:r>
      <w:r w:rsidR="001974ED">
        <w:t>responsible for the act constituting the offence</w:t>
      </w:r>
      <w:r w:rsidR="001974ED" w:rsidRPr="00237D85">
        <w:rPr>
          <w:rStyle w:val="FootnoteReference"/>
        </w:rPr>
        <w:footnoteReference w:id="123"/>
      </w:r>
      <w:r w:rsidR="001974ED" w:rsidRPr="00237D85">
        <w:t xml:space="preserve"> before they </w:t>
      </w:r>
      <w:r w:rsidR="001974ED">
        <w:t>are</w:t>
      </w:r>
      <w:r w:rsidR="001974ED" w:rsidRPr="00237D85">
        <w:t xml:space="preserve"> liable to the orders under that Act. </w:t>
      </w:r>
      <w:r w:rsidR="001974ED">
        <w:t>Individuals found not fit to stand trial, or not guilty by reason of insanity, may be detained only if the court considers it necessary in the interests of the public or any person or class of person</w:t>
      </w:r>
      <w:r w:rsidR="001974ED">
        <w:rPr>
          <w:rStyle w:val="FootnoteReference"/>
        </w:rPr>
        <w:footnoteReference w:id="124"/>
      </w:r>
      <w:r w:rsidR="001974ED">
        <w:t>.</w:t>
      </w:r>
      <w:r w:rsidR="001974ED" w:rsidRPr="004C4771">
        <w:t xml:space="preserve"> </w:t>
      </w:r>
    </w:p>
    <w:p w:rsidR="007C2DED" w:rsidRPr="00237D85" w:rsidRDefault="00064B7F" w:rsidP="00320CC4">
      <w:pPr>
        <w:pStyle w:val="CRPD-subsectionheading"/>
        <w:spacing w:line="240" w:lineRule="auto"/>
      </w:pPr>
      <w:r w:rsidRPr="00237D85">
        <w:t xml:space="preserve">It would not be appropriate to conduct a full trial for someone who is unable to properly conduct a defence. </w:t>
      </w:r>
      <w:r w:rsidR="00E768B6">
        <w:t>The Government considers this Act</w:t>
      </w:r>
      <w:r w:rsidR="007C2DED" w:rsidRPr="00237D85">
        <w:t xml:space="preserve"> contains appropriate safeguards and strikes an appropriate balance. </w:t>
      </w:r>
    </w:p>
    <w:p w:rsidR="00064B7F" w:rsidRPr="00237D85" w:rsidRDefault="00064B7F" w:rsidP="00320CC4">
      <w:pPr>
        <w:pStyle w:val="CRPD-subsectionheading"/>
        <w:spacing w:line="240" w:lineRule="auto"/>
      </w:pPr>
      <w:r w:rsidRPr="00237D85">
        <w:t xml:space="preserve">Similar orders can be made in respect of any person, whether or not they have been charged with an offence, under the </w:t>
      </w:r>
      <w:r w:rsidRPr="00237D85">
        <w:rPr>
          <w:i/>
        </w:rPr>
        <w:t>Mental Health (Compulsory Assessment and Treatment) Act 1992</w:t>
      </w:r>
      <w:r w:rsidRPr="00237D85">
        <w:t xml:space="preserve">. </w:t>
      </w:r>
    </w:p>
    <w:p w:rsidR="006F7302" w:rsidRDefault="006F7302" w:rsidP="00320CC4">
      <w:pPr>
        <w:pStyle w:val="CRPD-Questionstyle"/>
        <w:widowControl w:val="0"/>
        <w:spacing w:line="240" w:lineRule="auto"/>
        <w:rPr>
          <w:lang w:val="en-NZ"/>
        </w:rPr>
      </w:pPr>
    </w:p>
    <w:p w:rsidR="00064B7F" w:rsidRPr="00E768B6" w:rsidRDefault="00064B7F" w:rsidP="00320CC4">
      <w:pPr>
        <w:pStyle w:val="CRPD-Questionstyle"/>
        <w:widowControl w:val="0"/>
        <w:spacing w:line="240" w:lineRule="auto"/>
        <w:rPr>
          <w:sz w:val="32"/>
          <w:highlight w:val="magenta"/>
          <w:lang w:val="en-NZ"/>
        </w:rPr>
      </w:pPr>
      <w:r w:rsidRPr="00E768B6">
        <w:rPr>
          <w:rFonts w:ascii="Times New Roman" w:hAnsi="Times New Roman"/>
          <w:sz w:val="32"/>
          <w:szCs w:val="24"/>
        </w:rPr>
        <w:t xml:space="preserve">Freedom from torture or cruel, inhuman or degrading treatment or punishment </w:t>
      </w:r>
      <w:r w:rsidRPr="00E768B6">
        <w:rPr>
          <w:rFonts w:ascii="Times New Roman" w:hAnsi="Times New Roman"/>
          <w:sz w:val="32"/>
          <w:szCs w:val="24"/>
        </w:rPr>
        <w:br/>
        <w:t>(art. 15)</w:t>
      </w:r>
    </w:p>
    <w:p w:rsidR="00064B7F" w:rsidRPr="00F24ABD" w:rsidRDefault="00064B7F" w:rsidP="00320CC4">
      <w:pPr>
        <w:pStyle w:val="CRPD-Questionstyle"/>
        <w:widowControl w:val="0"/>
        <w:spacing w:line="240" w:lineRule="auto"/>
        <w:rPr>
          <w:lang w:val="en-NZ"/>
        </w:rPr>
      </w:pPr>
      <w:r w:rsidRPr="00F24ABD">
        <w:rPr>
          <w:lang w:val="en-NZ"/>
        </w:rPr>
        <w:t>14.</w:t>
      </w:r>
      <w:r w:rsidRPr="00F24ABD">
        <w:rPr>
          <w:lang w:val="en-NZ"/>
        </w:rPr>
        <w:tab/>
      </w:r>
    </w:p>
    <w:p w:rsidR="00064B7F" w:rsidRPr="00F24ABD" w:rsidRDefault="00064B7F" w:rsidP="00320CC4">
      <w:pPr>
        <w:pStyle w:val="CRPD-Questionstyle"/>
        <w:widowControl w:val="0"/>
        <w:spacing w:line="240" w:lineRule="auto"/>
        <w:rPr>
          <w:lang w:val="en-NZ"/>
        </w:rPr>
      </w:pPr>
      <w:r w:rsidRPr="00F24ABD">
        <w:rPr>
          <w:lang w:val="en-NZ"/>
        </w:rPr>
        <w:tab/>
        <w:t>(a)</w:t>
      </w:r>
      <w:r w:rsidRPr="00F24ABD">
        <w:rPr>
          <w:lang w:val="en-NZ"/>
        </w:rPr>
        <w:tab/>
        <w:t>Legal measures taken to eliminate the use of seclusion, restraints, detention, night safety orders, tie-down beds and non-consensual treatment, in particular in medical facilities;</w:t>
      </w:r>
    </w:p>
    <w:p w:rsidR="00981C07" w:rsidRPr="00403957" w:rsidRDefault="00981C07" w:rsidP="00320CC4">
      <w:pPr>
        <w:pStyle w:val="CRPD-subsectionheading"/>
        <w:spacing w:line="240" w:lineRule="auto"/>
      </w:pPr>
      <w:r>
        <w:t>No legal measures have been taken to eliminate these practices, however the</w:t>
      </w:r>
      <w:r w:rsidRPr="00981C07">
        <w:t xml:space="preserve"> </w:t>
      </w:r>
      <w:r w:rsidRPr="00237D85">
        <w:t xml:space="preserve">Government is committed to reducing the use of </w:t>
      </w:r>
      <w:r w:rsidRPr="00403957">
        <w:t>seclusion, restraints and other similar measures.</w:t>
      </w:r>
    </w:p>
    <w:p w:rsidR="00403957" w:rsidRPr="00403957" w:rsidRDefault="00403957" w:rsidP="00320CC4">
      <w:pPr>
        <w:pStyle w:val="CRPD-subsectionheading"/>
        <w:spacing w:line="240" w:lineRule="auto"/>
      </w:pPr>
      <w:r w:rsidRPr="00403957">
        <w:t>Revised standards for the reduction of seclusion and restraint in mental health facilities came into effect in 2009, and the total number of people secluded in adult inpatient services</w:t>
      </w:r>
      <w:r w:rsidR="006937BD">
        <w:t xml:space="preserve"> nationally has decreased by 28% </w:t>
      </w:r>
      <w:r w:rsidRPr="00403957">
        <w:t>since then</w:t>
      </w:r>
      <w:r>
        <w:rPr>
          <w:rStyle w:val="FootnoteReference"/>
        </w:rPr>
        <w:footnoteReference w:id="125"/>
      </w:r>
      <w:r w:rsidRPr="00403957">
        <w:t xml:space="preserve">. </w:t>
      </w:r>
    </w:p>
    <w:p w:rsidR="005C357D" w:rsidRPr="005C357D" w:rsidRDefault="005C357D" w:rsidP="00320CC4">
      <w:pPr>
        <w:pStyle w:val="CRPD-subsectionheading"/>
        <w:spacing w:line="240" w:lineRule="auto"/>
      </w:pPr>
      <w:r w:rsidRPr="005C357D">
        <w:lastRenderedPageBreak/>
        <w:t xml:space="preserve">In 2017, policy was amended to limit the use of tie-down beds to four prisons, and only in situations where other means of preventing injury and ensuring safety are ineffective. </w:t>
      </w:r>
      <w:r w:rsidR="002B2D2A">
        <w:t xml:space="preserve">The Government is considering </w:t>
      </w:r>
      <w:r w:rsidR="002B2D2A" w:rsidRPr="008B02F6">
        <w:t>ceasing the use</w:t>
      </w:r>
      <w:r w:rsidR="002B2D2A">
        <w:t xml:space="preserve"> of tie-down beds in prisons.</w:t>
      </w:r>
    </w:p>
    <w:p w:rsidR="00403957" w:rsidRPr="00403957" w:rsidRDefault="00981C07" w:rsidP="00320CC4">
      <w:pPr>
        <w:pStyle w:val="CRPD-subsectionheading"/>
        <w:spacing w:line="240" w:lineRule="auto"/>
      </w:pPr>
      <w:r>
        <w:t xml:space="preserve">The programme </w:t>
      </w:r>
      <w:r w:rsidR="005941BE" w:rsidRPr="00237D85">
        <w:rPr>
          <w:i/>
        </w:rPr>
        <w:t>Zero Seclusion: towards eliminating seclusion by 2020</w:t>
      </w:r>
      <w:r w:rsidR="006937BD">
        <w:rPr>
          <w:rStyle w:val="FootnoteReference"/>
          <w:i/>
        </w:rPr>
        <w:footnoteReference w:id="126"/>
      </w:r>
      <w:r w:rsidR="00693713" w:rsidRPr="00237D85">
        <w:t xml:space="preserve"> </w:t>
      </w:r>
      <w:r>
        <w:t xml:space="preserve">was </w:t>
      </w:r>
      <w:r w:rsidRPr="00403957">
        <w:t xml:space="preserve">launched in </w:t>
      </w:r>
      <w:r w:rsidR="00403957" w:rsidRPr="00403957">
        <w:t>March 2018</w:t>
      </w:r>
      <w:r w:rsidR="00BB0154">
        <w:t xml:space="preserve">. </w:t>
      </w:r>
      <w:r w:rsidR="00403957" w:rsidRPr="00403957">
        <w:t>The implementation was informed by a co-design phase, and there is a strong focus on the role of consume</w:t>
      </w:r>
      <w:r w:rsidR="006937BD">
        <w:t xml:space="preserve">rs, </w:t>
      </w:r>
      <w:r w:rsidR="00403957" w:rsidRPr="00403957">
        <w:t>families and whānau in supporting long-term change. The programme emphasises culturally appropriate approaches with Māori mental health consumers and their whānau</w:t>
      </w:r>
      <w:r w:rsidR="00403957" w:rsidRPr="00403957">
        <w:rPr>
          <w:vertAlign w:val="superscript"/>
        </w:rPr>
        <w:footnoteReference w:id="127"/>
      </w:r>
      <w:r w:rsidR="00403957" w:rsidRPr="00403957">
        <w:t>.</w:t>
      </w:r>
    </w:p>
    <w:p w:rsidR="00693713" w:rsidRPr="00403957" w:rsidRDefault="00531429" w:rsidP="00320CC4">
      <w:pPr>
        <w:pStyle w:val="CRPD-subsectionheading"/>
        <w:spacing w:line="240" w:lineRule="auto"/>
      </w:pPr>
      <w:r w:rsidRPr="00621205">
        <w:t xml:space="preserve">The </w:t>
      </w:r>
      <w:r w:rsidRPr="00403957">
        <w:rPr>
          <w:i/>
        </w:rPr>
        <w:t>Safe Practice Effective Communication</w:t>
      </w:r>
      <w:r>
        <w:t xml:space="preserve"> </w:t>
      </w:r>
      <w:r w:rsidR="00E768B6">
        <w:rPr>
          <w:i/>
        </w:rPr>
        <w:t>P</w:t>
      </w:r>
      <w:r w:rsidRPr="00E768B6">
        <w:rPr>
          <w:i/>
        </w:rPr>
        <w:t>rogramme</w:t>
      </w:r>
      <w:r w:rsidR="006937BD">
        <w:rPr>
          <w:rStyle w:val="FootnoteReference"/>
        </w:rPr>
        <w:footnoteReference w:id="128"/>
      </w:r>
      <w:r w:rsidR="00403957">
        <w:t xml:space="preserve"> launched in 2016</w:t>
      </w:r>
      <w:r>
        <w:t xml:space="preserve"> </w:t>
      </w:r>
      <w:r w:rsidRPr="00403957">
        <w:t xml:space="preserve">provides </w:t>
      </w:r>
      <w:r w:rsidR="00403957" w:rsidRPr="00403957">
        <w:t xml:space="preserve">evidence-based </w:t>
      </w:r>
      <w:r w:rsidR="00DD5D48" w:rsidRPr="00403957">
        <w:t>information on how to</w:t>
      </w:r>
      <w:r w:rsidRPr="00403957">
        <w:t xml:space="preserve"> reduc</w:t>
      </w:r>
      <w:r w:rsidR="00DD5D48" w:rsidRPr="00403957">
        <w:t>e</w:t>
      </w:r>
      <w:r w:rsidRPr="00403957">
        <w:t xml:space="preserve"> the use </w:t>
      </w:r>
      <w:r w:rsidR="00DD5D48" w:rsidRPr="00403957">
        <w:t>of</w:t>
      </w:r>
      <w:r w:rsidRPr="00403957">
        <w:t xml:space="preserve"> restraint and seclusion in inpatient mental health units.</w:t>
      </w:r>
    </w:p>
    <w:p w:rsidR="00403957" w:rsidRPr="00403957" w:rsidRDefault="00403957" w:rsidP="00320CC4">
      <w:pPr>
        <w:pStyle w:val="CRPD-subsectionheading"/>
        <w:spacing w:line="240" w:lineRule="auto"/>
      </w:pPr>
      <w:r w:rsidRPr="00403957">
        <w:t xml:space="preserve">In February 2018, the </w:t>
      </w:r>
      <w:r w:rsidR="00B63797">
        <w:t>Government</w:t>
      </w:r>
      <w:r w:rsidRPr="00403957">
        <w:t xml:space="preserve"> published transitional guidelines for mental health services to eliminate the use of night safety procedures by December 2022</w:t>
      </w:r>
      <w:r w:rsidR="0032190C" w:rsidRPr="00403957">
        <w:rPr>
          <w:rStyle w:val="FootnoteReference"/>
        </w:rPr>
        <w:footnoteReference w:id="129"/>
      </w:r>
      <w:r w:rsidRPr="00403957">
        <w:t xml:space="preserve">. </w:t>
      </w:r>
    </w:p>
    <w:p w:rsidR="003D30FE" w:rsidRPr="00237D85" w:rsidRDefault="00DD5D48" w:rsidP="00320CC4">
      <w:pPr>
        <w:pStyle w:val="CRPD-subsectionheading"/>
        <w:spacing w:line="240" w:lineRule="auto"/>
      </w:pPr>
      <w:r>
        <w:t>The Government has improved</w:t>
      </w:r>
      <w:r w:rsidR="003D30FE" w:rsidRPr="00237D85">
        <w:t xml:space="preserve"> the way we collect and report data about seclusion events for </w:t>
      </w:r>
      <w:r w:rsidR="00771B7D">
        <w:t>people with intellectual</w:t>
      </w:r>
      <w:r w:rsidR="003D30FE" w:rsidRPr="00237D85">
        <w:t xml:space="preserve"> </w:t>
      </w:r>
      <w:r w:rsidR="00771B7D">
        <w:t>disabilities.</w:t>
      </w:r>
      <w:r w:rsidR="003D30FE" w:rsidRPr="00237D85">
        <w:t xml:space="preserve"> From 2019</w:t>
      </w:r>
      <w:r w:rsidR="007C2DED" w:rsidRPr="00237D85">
        <w:t>,</w:t>
      </w:r>
      <w:r w:rsidR="003D30FE" w:rsidRPr="00237D85">
        <w:t xml:space="preserve"> these data will be made </w:t>
      </w:r>
      <w:r w:rsidR="00F0767B" w:rsidRPr="00237D85">
        <w:t xml:space="preserve">available </w:t>
      </w:r>
      <w:r w:rsidR="003D30FE" w:rsidRPr="00237D85">
        <w:t xml:space="preserve">publicly. </w:t>
      </w: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Statistics, data and evidence on the mental health of persons with disabilities in prisons, explaining how the evidence is used for treatment and the planning, and the measures taken by the Ministry of Health and the Corrections Service concerning mental health services in prisons;</w:t>
      </w:r>
    </w:p>
    <w:p w:rsidR="006A1470" w:rsidRDefault="00D11521" w:rsidP="00320CC4">
      <w:pPr>
        <w:pStyle w:val="CRPD-subsectionheading"/>
        <w:spacing w:line="240" w:lineRule="auto"/>
      </w:pPr>
      <w:r>
        <w:t>The Government</w:t>
      </w:r>
      <w:r w:rsidR="006A1470" w:rsidRPr="00237D85">
        <w:t xml:space="preserve"> does not </w:t>
      </w:r>
      <w:r>
        <w:t>have</w:t>
      </w:r>
      <w:r w:rsidR="006A1470" w:rsidRPr="00237D85">
        <w:t xml:space="preserve"> data which </w:t>
      </w:r>
      <w:r>
        <w:t xml:space="preserve">can tell us whether a prisoner has a disability and a mental health issue. </w:t>
      </w:r>
      <w:r w:rsidR="006A1470" w:rsidRPr="00237D85">
        <w:t xml:space="preserve">All prisoners are entitled to support, treatment, and care for any conditions or disabilities they have. </w:t>
      </w:r>
    </w:p>
    <w:p w:rsidR="00E279DD" w:rsidRPr="00E279DD" w:rsidRDefault="00E279DD" w:rsidP="00320CC4">
      <w:pPr>
        <w:pStyle w:val="CRPD-subsectionheading"/>
        <w:spacing w:line="240" w:lineRule="auto"/>
      </w:pPr>
      <w:r w:rsidRPr="00E279DD">
        <w:t>We know however that:</w:t>
      </w:r>
    </w:p>
    <w:p w:rsidR="00E279DD" w:rsidRPr="00E279DD" w:rsidRDefault="00E279DD" w:rsidP="00320CC4">
      <w:pPr>
        <w:pStyle w:val="CRPDStateParty-bullets"/>
        <w:widowControl w:val="0"/>
        <w:spacing w:line="240" w:lineRule="auto"/>
      </w:pPr>
      <w:r w:rsidRPr="00E279DD">
        <w:t>91% of prisoners have a lifetime diagnosis of mental health or substance abuse disorders</w:t>
      </w:r>
    </w:p>
    <w:p w:rsidR="00E279DD" w:rsidRPr="00E279DD" w:rsidRDefault="0032190C" w:rsidP="00320CC4">
      <w:pPr>
        <w:pStyle w:val="CRPDStateParty-bullets"/>
        <w:widowControl w:val="0"/>
        <w:spacing w:line="240" w:lineRule="auto"/>
      </w:pPr>
      <w:r>
        <w:lastRenderedPageBreak/>
        <w:t>i</w:t>
      </w:r>
      <w:r w:rsidR="00E279DD" w:rsidRPr="00E279DD">
        <w:t>n 2017/18, 99% of prisoners received a health assessment on their first day in prison (including health needs and mental health needs, risk of self-harm and suicide, whe</w:t>
      </w:r>
      <w:r>
        <w:t>ther a referr</w:t>
      </w:r>
      <w:r w:rsidR="006937BD">
        <w:t>al is needed</w:t>
      </w:r>
      <w:r>
        <w:t>)</w:t>
      </w:r>
    </w:p>
    <w:p w:rsidR="002B2D2A" w:rsidRPr="007575E8" w:rsidRDefault="002B2D2A" w:rsidP="00320CC4">
      <w:pPr>
        <w:pStyle w:val="CRPDStateParty-bullets"/>
        <w:widowControl w:val="0"/>
        <w:spacing w:line="240" w:lineRule="auto"/>
      </w:pPr>
      <w:r>
        <w:t>in prisons, 4,247</w:t>
      </w:r>
      <w:r w:rsidRPr="007575E8">
        <w:t xml:space="preserve"> referrals were made to mental health clinicians </w:t>
      </w:r>
      <w:r>
        <w:t>from April 2017 to December 2018</w:t>
      </w:r>
      <w:r w:rsidRPr="007575E8">
        <w:t>.</w:t>
      </w:r>
    </w:p>
    <w:p w:rsidR="00E768B6" w:rsidRDefault="00E768B6" w:rsidP="00320CC4">
      <w:pPr>
        <w:pStyle w:val="CRPDStateParty-bullets"/>
        <w:spacing w:line="240" w:lineRule="auto"/>
      </w:pPr>
      <w:r>
        <w:t>i</w:t>
      </w:r>
      <w:r w:rsidR="006937BD">
        <w:t xml:space="preserve">n 2017, </w:t>
      </w:r>
      <w:r w:rsidR="00460E59" w:rsidRPr="005330D4">
        <w:t xml:space="preserve">254 patients were transferred from prison to a forensic mental health service for </w:t>
      </w:r>
      <w:r w:rsidR="005D21B4">
        <w:t xml:space="preserve">a </w:t>
      </w:r>
      <w:r w:rsidR="00460E59" w:rsidRPr="005330D4">
        <w:t>compulsory mental health assessment and treatment</w:t>
      </w:r>
      <w:r w:rsidR="00460E59" w:rsidRPr="005330D4">
        <w:rPr>
          <w:rStyle w:val="FootnoteReference"/>
        </w:rPr>
        <w:footnoteReference w:id="130"/>
      </w:r>
      <w:r w:rsidR="00B500E2">
        <w:t xml:space="preserve">. </w:t>
      </w:r>
    </w:p>
    <w:p w:rsidR="00460E59" w:rsidRDefault="005330D4" w:rsidP="00320CC4">
      <w:pPr>
        <w:pStyle w:val="CRPD-Questionstyle"/>
        <w:spacing w:line="240" w:lineRule="auto"/>
      </w:pPr>
      <w:r w:rsidRPr="006937BD">
        <w:t xml:space="preserve">Table: Number of </w:t>
      </w:r>
      <w:r w:rsidR="006937BD" w:rsidRPr="006937BD">
        <w:t>prisoners</w:t>
      </w:r>
      <w:r w:rsidRPr="006937BD">
        <w:t xml:space="preserve"> seen by</w:t>
      </w:r>
      <w:r w:rsidR="006937BD" w:rsidRPr="006937BD">
        <w:t xml:space="preserve"> forensic mental health teams</w:t>
      </w:r>
      <w:r w:rsidR="00E768B6" w:rsidRPr="00E768B6">
        <w:t xml:space="preserve"> </w:t>
      </w:r>
      <w:r w:rsidR="00E768B6" w:rsidRPr="005330D4">
        <w:t>in a prison setting</w:t>
      </w:r>
      <w:r w:rsidR="00E768B6">
        <w:t xml:space="preserve"> </w:t>
      </w:r>
      <w:r w:rsidRPr="007C3EAB">
        <w:rPr>
          <w:rStyle w:val="FootnoteReference"/>
          <w:b w:val="0"/>
        </w:rPr>
        <w:footnoteReference w:id="131"/>
      </w:r>
    </w:p>
    <w:tbl>
      <w:tblPr>
        <w:tblStyle w:val="TableGridLight1"/>
        <w:tblpPr w:leftFromText="180" w:rightFromText="180" w:vertAnchor="text" w:horzAnchor="page" w:tblpX="2563" w:tblpY="36"/>
        <w:tblW w:w="0" w:type="auto"/>
        <w:tblLook w:val="04A0" w:firstRow="1" w:lastRow="0" w:firstColumn="1" w:lastColumn="0" w:noHBand="0" w:noVBand="1"/>
      </w:tblPr>
      <w:tblGrid>
        <w:gridCol w:w="2661"/>
        <w:gridCol w:w="899"/>
        <w:gridCol w:w="899"/>
        <w:gridCol w:w="899"/>
        <w:gridCol w:w="899"/>
      </w:tblGrid>
      <w:tr w:rsidR="007C3EAB" w:rsidRPr="00DF1D96" w:rsidTr="002622F8">
        <w:tc>
          <w:tcPr>
            <w:tcW w:w="0" w:type="auto"/>
          </w:tcPr>
          <w:p w:rsidR="007C3EAB" w:rsidRPr="00DF1D96" w:rsidRDefault="007C3EA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Year ending June</w:t>
            </w:r>
          </w:p>
        </w:tc>
        <w:tc>
          <w:tcPr>
            <w:tcW w:w="0" w:type="auto"/>
          </w:tcPr>
          <w:p w:rsidR="007C3EAB" w:rsidRPr="00DF1D96" w:rsidRDefault="007C3EA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2014</w:t>
            </w:r>
          </w:p>
        </w:tc>
        <w:tc>
          <w:tcPr>
            <w:tcW w:w="0" w:type="auto"/>
          </w:tcPr>
          <w:p w:rsidR="007C3EAB" w:rsidRPr="00DF1D96" w:rsidRDefault="007C3EA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2015</w:t>
            </w:r>
          </w:p>
        </w:tc>
        <w:tc>
          <w:tcPr>
            <w:tcW w:w="0" w:type="auto"/>
          </w:tcPr>
          <w:p w:rsidR="007C3EAB" w:rsidRPr="00DF1D96" w:rsidRDefault="007C3EA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2016</w:t>
            </w:r>
          </w:p>
        </w:tc>
        <w:tc>
          <w:tcPr>
            <w:tcW w:w="0" w:type="auto"/>
          </w:tcPr>
          <w:p w:rsidR="007C3EAB" w:rsidRPr="00DF1D96" w:rsidRDefault="007C3EA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2017</w:t>
            </w:r>
          </w:p>
        </w:tc>
      </w:tr>
      <w:tr w:rsidR="007C3EAB" w:rsidRPr="00DF1D96" w:rsidTr="002622F8">
        <w:tc>
          <w:tcPr>
            <w:tcW w:w="0" w:type="auto"/>
          </w:tcPr>
          <w:p w:rsidR="007C3EAB" w:rsidRPr="00DF1D96" w:rsidRDefault="007C3EA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Number</w:t>
            </w:r>
            <w:r w:rsidR="006937BD" w:rsidRPr="00DF1D96">
              <w:rPr>
                <w:rFonts w:ascii="Verdana" w:hAnsi="Verdana" w:cstheme="minorBidi"/>
                <w:sz w:val="24"/>
              </w:rPr>
              <w:t xml:space="preserve"> of</w:t>
            </w:r>
            <w:r w:rsidR="006937BD" w:rsidRPr="00DF1D96">
              <w:rPr>
                <w:sz w:val="24"/>
              </w:rPr>
              <w:t xml:space="preserve"> </w:t>
            </w:r>
            <w:r w:rsidR="00B500E2" w:rsidRPr="00DF1D96">
              <w:rPr>
                <w:rFonts w:ascii="Verdana" w:hAnsi="Verdana" w:cstheme="minorBidi"/>
                <w:sz w:val="24"/>
              </w:rPr>
              <w:t>prisoners</w:t>
            </w:r>
          </w:p>
        </w:tc>
        <w:tc>
          <w:tcPr>
            <w:tcW w:w="0" w:type="auto"/>
          </w:tcPr>
          <w:p w:rsidR="007C3EAB" w:rsidRPr="00DF1D96" w:rsidRDefault="007C3EA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3280</w:t>
            </w:r>
          </w:p>
        </w:tc>
        <w:tc>
          <w:tcPr>
            <w:tcW w:w="0" w:type="auto"/>
          </w:tcPr>
          <w:p w:rsidR="007C3EAB" w:rsidRPr="00DF1D96" w:rsidRDefault="007C3EA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3440</w:t>
            </w:r>
          </w:p>
        </w:tc>
        <w:tc>
          <w:tcPr>
            <w:tcW w:w="0" w:type="auto"/>
          </w:tcPr>
          <w:p w:rsidR="007C3EAB" w:rsidRPr="00DF1D96" w:rsidRDefault="007C3EA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3690</w:t>
            </w:r>
          </w:p>
        </w:tc>
        <w:tc>
          <w:tcPr>
            <w:tcW w:w="0" w:type="auto"/>
          </w:tcPr>
          <w:p w:rsidR="007C3EAB" w:rsidRPr="00DF1D96" w:rsidRDefault="007C3EA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3890</w:t>
            </w:r>
          </w:p>
        </w:tc>
      </w:tr>
    </w:tbl>
    <w:p w:rsidR="007C3EAB" w:rsidRPr="007C3EAB" w:rsidRDefault="007C3EAB" w:rsidP="00320CC4">
      <w:pPr>
        <w:pStyle w:val="CRPD-subsectionheading"/>
        <w:numPr>
          <w:ilvl w:val="0"/>
          <w:numId w:val="0"/>
        </w:numPr>
        <w:spacing w:line="240" w:lineRule="auto"/>
      </w:pPr>
    </w:p>
    <w:p w:rsidR="005C357D" w:rsidRPr="005C357D" w:rsidRDefault="005C357D" w:rsidP="00320CC4">
      <w:pPr>
        <w:pStyle w:val="CRPD-subsectionheading"/>
        <w:spacing w:line="240" w:lineRule="auto"/>
      </w:pPr>
      <w:r w:rsidRPr="005C357D">
        <w:t xml:space="preserve">For mental health services in prisons, the Government: </w:t>
      </w:r>
    </w:p>
    <w:p w:rsidR="005C357D" w:rsidRPr="005C357D" w:rsidRDefault="003A486D" w:rsidP="00320CC4">
      <w:pPr>
        <w:pStyle w:val="CRPDStateParty-bullets"/>
        <w:widowControl w:val="0"/>
        <w:spacing w:line="240" w:lineRule="auto"/>
      </w:pPr>
      <w:r>
        <w:t>is developing</w:t>
      </w:r>
      <w:r w:rsidR="005C357D" w:rsidRPr="005C357D">
        <w:t xml:space="preserve"> a framework on h</w:t>
      </w:r>
      <w:r w:rsidR="00E768B6">
        <w:t>ow to plan, design and resource</w:t>
      </w:r>
      <w:r w:rsidR="005C357D" w:rsidRPr="005C357D">
        <w:t xml:space="preserve"> forensic mental health services. This framework is being used with </w:t>
      </w:r>
      <w:r w:rsidR="0032190C">
        <w:t>providers, users and academics</w:t>
      </w:r>
    </w:p>
    <w:p w:rsidR="005C357D" w:rsidRPr="005C357D" w:rsidRDefault="00E334E5" w:rsidP="00320CC4">
      <w:pPr>
        <w:pStyle w:val="CRPDStateParty-bullets"/>
        <w:widowControl w:val="0"/>
        <w:spacing w:line="240" w:lineRule="auto"/>
      </w:pPr>
      <w:r>
        <w:t xml:space="preserve">introduced </w:t>
      </w:r>
      <w:r w:rsidR="0032190C">
        <w:t>a</w:t>
      </w:r>
      <w:r w:rsidR="005C357D" w:rsidRPr="005C357D">
        <w:t xml:space="preserve"> mental health service for those experiencing mild-to-moderate mental health needs in 2017 at 16 prisons and four community corrections sites. The service contracts clinicians to work directly with people in prisons or on community-based sentences. From April 2017 to </w:t>
      </w:r>
      <w:r w:rsidR="002B2D2A">
        <w:t>December</w:t>
      </w:r>
      <w:r w:rsidR="005C357D" w:rsidRPr="005C357D">
        <w:t xml:space="preserve"> 2018, the s</w:t>
      </w:r>
      <w:r w:rsidR="002B2D2A">
        <w:t xml:space="preserve">ervice received </w:t>
      </w:r>
      <w:r w:rsidR="002B2D2A" w:rsidRPr="007575E8">
        <w:t>5,</w:t>
      </w:r>
      <w:r w:rsidR="002B2D2A">
        <w:t>856</w:t>
      </w:r>
      <w:r w:rsidR="002B2D2A" w:rsidRPr="007575E8">
        <w:t xml:space="preserve"> </w:t>
      </w:r>
      <w:r w:rsidR="0032190C">
        <w:t>referrals</w:t>
      </w:r>
      <w:r w:rsidR="005C357D" w:rsidRPr="005C357D">
        <w:t xml:space="preserve"> </w:t>
      </w:r>
    </w:p>
    <w:p w:rsidR="00092C6E" w:rsidRPr="005C357D" w:rsidRDefault="00E334E5" w:rsidP="00320CC4">
      <w:pPr>
        <w:pStyle w:val="CRPDStateParty-bullets"/>
        <w:widowControl w:val="0"/>
        <w:spacing w:line="240" w:lineRule="auto"/>
      </w:pPr>
      <w:r>
        <w:t xml:space="preserve">started </w:t>
      </w:r>
      <w:r w:rsidR="0032190C">
        <w:t>a</w:t>
      </w:r>
      <w:r w:rsidR="005C357D" w:rsidRPr="005C357D">
        <w:t xml:space="preserve"> project to better identify and support those vulnerable to self-harm or suicide in 2017. A whole-of-prison model of care will be piloted in three prisons. Elements of the model of care</w:t>
      </w:r>
      <w:r w:rsidR="00B1064D" w:rsidRPr="00B1064D">
        <w:t xml:space="preserve"> </w:t>
      </w:r>
      <w:r w:rsidR="00B1064D">
        <w:t>have</w:t>
      </w:r>
      <w:r w:rsidR="00B1064D" w:rsidRPr="005C357D">
        <w:t xml:space="preserve"> been introduced across all prison sites</w:t>
      </w:r>
      <w:r w:rsidR="005C357D" w:rsidRPr="005C357D">
        <w:t xml:space="preserve">, </w:t>
      </w:r>
      <w:r w:rsidR="00B70EBF">
        <w:t xml:space="preserve">including </w:t>
      </w:r>
      <w:r w:rsidR="005C357D" w:rsidRPr="005C357D">
        <w:t>a supported decision framework to humanely and safely manage people in</w:t>
      </w:r>
      <w:r w:rsidR="006937BD">
        <w:t xml:space="preserve"> Intervention and Support Units</w:t>
      </w:r>
      <w:r w:rsidR="005C357D" w:rsidRPr="005C357D">
        <w:t>.</w:t>
      </w:r>
      <w:r w:rsidR="00092C6E" w:rsidRPr="005C357D">
        <w:t xml:space="preserve"> </w:t>
      </w:r>
    </w:p>
    <w:p w:rsidR="00027302" w:rsidRDefault="00027302" w:rsidP="00320CC4">
      <w:pPr>
        <w:suppressAutoHyphens w:val="0"/>
        <w:spacing w:line="240" w:lineRule="auto"/>
        <w:rPr>
          <w:rFonts w:ascii="Verdana" w:hAnsi="Verdana"/>
          <w:b/>
          <w:lang w:val="en-NZ" w:eastAsia="zh-CN"/>
        </w:rPr>
      </w:pPr>
    </w:p>
    <w:p w:rsidR="00064B7F" w:rsidRPr="00237D85" w:rsidRDefault="00064B7F" w:rsidP="00320CC4">
      <w:pPr>
        <w:pStyle w:val="CRPD-Questionstyle"/>
        <w:widowControl w:val="0"/>
        <w:spacing w:line="240" w:lineRule="auto"/>
        <w:ind w:firstLine="567"/>
        <w:rPr>
          <w:lang w:val="en-NZ"/>
        </w:rPr>
      </w:pPr>
      <w:r w:rsidRPr="00237D85">
        <w:rPr>
          <w:lang w:val="en-NZ"/>
        </w:rPr>
        <w:t>(c)</w:t>
      </w:r>
      <w:r w:rsidRPr="00237D85">
        <w:rPr>
          <w:lang w:val="en-NZ"/>
        </w:rPr>
        <w:tab/>
        <w:t>Measures taken to monitor homes, residential facilities and any place where persons with disabilities could be deprived of their liberty, and statistics disaggregated by age, sex and other relevant factors on investigations of ill-treatment and/or torture as well as compensations, reparation and rehabilitation for victims;</w:t>
      </w:r>
    </w:p>
    <w:p w:rsidR="005330D4" w:rsidRPr="006937BD" w:rsidRDefault="005330D4" w:rsidP="00320CC4">
      <w:pPr>
        <w:pStyle w:val="CRPD-subsectionheading"/>
        <w:spacing w:line="240" w:lineRule="auto"/>
      </w:pPr>
      <w:r w:rsidRPr="005330D4">
        <w:lastRenderedPageBreak/>
        <w:t>The Office of the Ombudsman</w:t>
      </w:r>
      <w:r w:rsidRPr="005330D4">
        <w:rPr>
          <w:rStyle w:val="FootnoteReference"/>
        </w:rPr>
        <w:footnoteReference w:id="132"/>
      </w:r>
      <w:r w:rsidRPr="005330D4">
        <w:t xml:space="preserve"> regularly visits mental health and intellectual disability inpatient facilities. They identify any problems and make recommendations to strengthen protections or improve treatment and conditions for disabled people. Since June 2018, the Ombudsman’s role </w:t>
      </w:r>
      <w:r w:rsidR="00B1064D">
        <w:t xml:space="preserve">has </w:t>
      </w:r>
      <w:r w:rsidRPr="005330D4">
        <w:t xml:space="preserve">included monitoring the </w:t>
      </w:r>
      <w:r w:rsidRPr="006937BD">
        <w:t>treatment of persons detained in privately-run aged care facilities</w:t>
      </w:r>
      <w:r w:rsidRPr="006937BD">
        <w:rPr>
          <w:rStyle w:val="FootnoteReference"/>
        </w:rPr>
        <w:footnoteReference w:id="133"/>
      </w:r>
      <w:r w:rsidRPr="006937BD">
        <w:t>. This will increase the monitoring of facilities providing dementia care. See question 23(c).</w:t>
      </w:r>
      <w:r w:rsidRPr="006937BD">
        <w:rPr>
          <w:b/>
        </w:rPr>
        <w:t xml:space="preserve"> </w:t>
      </w:r>
    </w:p>
    <w:p w:rsidR="005330D4" w:rsidRPr="006937BD" w:rsidRDefault="005330D4" w:rsidP="00320CC4">
      <w:pPr>
        <w:pStyle w:val="CRPD-subsectionheading"/>
        <w:spacing w:line="240" w:lineRule="auto"/>
      </w:pPr>
      <w:r w:rsidRPr="006937BD">
        <w:t>The Government monitors residential disability services as part of its regular contract re</w:t>
      </w:r>
      <w:r w:rsidR="00D35B53">
        <w:t xml:space="preserve">porting with service providers </w:t>
      </w:r>
      <w:r w:rsidRPr="006937BD">
        <w:t xml:space="preserve">against the </w:t>
      </w:r>
      <w:r w:rsidRPr="006937BD">
        <w:rPr>
          <w:i/>
        </w:rPr>
        <w:t>Health and Disability (Safety) Standards 2008</w:t>
      </w:r>
      <w:r w:rsidRPr="006937BD">
        <w:rPr>
          <w:rStyle w:val="FootnoteReference"/>
        </w:rPr>
        <w:footnoteReference w:id="134"/>
      </w:r>
      <w:r w:rsidRPr="006937BD">
        <w:t xml:space="preserve">  (</w:t>
      </w:r>
      <w:r w:rsidR="003A486D">
        <w:t>of which a review commenced in</w:t>
      </w:r>
      <w:r w:rsidRPr="006937BD">
        <w:t xml:space="preserve"> 2018)</w:t>
      </w:r>
      <w:r w:rsidR="006937BD" w:rsidRPr="006937BD">
        <w:t>. Government reports</w:t>
      </w:r>
      <w:r w:rsidRPr="006937BD">
        <w:t xml:space="preserve"> critical incidents and deaths and </w:t>
      </w:r>
      <w:r w:rsidR="006937BD" w:rsidRPr="006937BD">
        <w:t>provides a complaint</w:t>
      </w:r>
      <w:r w:rsidRPr="006937BD">
        <w:t xml:space="preserve"> mechanism.</w:t>
      </w:r>
    </w:p>
    <w:p w:rsidR="005330D4" w:rsidRPr="006937BD" w:rsidRDefault="005330D4" w:rsidP="00320CC4">
      <w:pPr>
        <w:pStyle w:val="CRPD-subsectionheading"/>
        <w:spacing w:line="240" w:lineRule="auto"/>
      </w:pPr>
      <w:r w:rsidRPr="006937BD">
        <w:t xml:space="preserve">The </w:t>
      </w:r>
      <w:r w:rsidRPr="006937BD">
        <w:rPr>
          <w:i/>
        </w:rPr>
        <w:t>Intellectual Disability (Compulsory Care and Rehabilitation) Act 2003</w:t>
      </w:r>
      <w:r w:rsidRPr="006937BD">
        <w:t xml:space="preserve"> and the Mental Health Act is monitored nationally by </w:t>
      </w:r>
      <w:r w:rsidR="00B1064D" w:rsidRPr="006937BD">
        <w:t xml:space="preserve">Ministry of Health </w:t>
      </w:r>
      <w:r w:rsidRPr="006937BD">
        <w:t>Directors and locally by statutory officers</w:t>
      </w:r>
      <w:r w:rsidRPr="006937BD">
        <w:rPr>
          <w:rStyle w:val="FootnoteReference"/>
        </w:rPr>
        <w:footnoteReference w:id="135"/>
      </w:r>
      <w:r w:rsidRPr="006937BD">
        <w:t xml:space="preserve"> and District Inspectors (see question 13(c)).</w:t>
      </w:r>
    </w:p>
    <w:p w:rsidR="007C3EAB" w:rsidRDefault="00BB525A" w:rsidP="00320CC4">
      <w:pPr>
        <w:pStyle w:val="CRPD-subsectionheading"/>
        <w:spacing w:line="240" w:lineRule="auto"/>
      </w:pPr>
      <w:r>
        <w:t>T</w:t>
      </w:r>
      <w:r w:rsidRPr="00BB525A">
        <w:t xml:space="preserve">he </w:t>
      </w:r>
      <w:r w:rsidR="005330D4" w:rsidRPr="005330D4">
        <w:t>Government has report</w:t>
      </w:r>
      <w:r>
        <w:t>ed Mental Health Act statistics</w:t>
      </w:r>
      <w:r w:rsidR="005330D4" w:rsidRPr="005330D4">
        <w:t xml:space="preserve"> since 2005</w:t>
      </w:r>
      <w:r w:rsidR="005330D4" w:rsidRPr="005330D4">
        <w:rPr>
          <w:rStyle w:val="FootnoteReference"/>
        </w:rPr>
        <w:footnoteReference w:id="136"/>
      </w:r>
      <w:r w:rsidR="007C3EAB">
        <w:t>.</w:t>
      </w:r>
    </w:p>
    <w:p w:rsidR="005330D4" w:rsidRPr="006937BD" w:rsidRDefault="007C3EAB" w:rsidP="00320CC4">
      <w:pPr>
        <w:pStyle w:val="CRPD-Questionstyle"/>
        <w:spacing w:line="240" w:lineRule="auto"/>
      </w:pPr>
      <w:r w:rsidRPr="006937BD">
        <w:t>Table: C</w:t>
      </w:r>
      <w:r w:rsidR="005330D4" w:rsidRPr="006937BD">
        <w:t>ompulsory inp</w:t>
      </w:r>
      <w:r w:rsidR="006937BD">
        <w:t>atient orders from 2014 to 2017</w:t>
      </w:r>
    </w:p>
    <w:tbl>
      <w:tblPr>
        <w:tblStyle w:val="TableGridLight1"/>
        <w:tblpPr w:leftFromText="180" w:rightFromText="180" w:vertAnchor="text" w:horzAnchor="margin" w:tblpXSpec="right" w:tblpY="57"/>
        <w:tblW w:w="0" w:type="auto"/>
        <w:tblLook w:val="04A0" w:firstRow="1" w:lastRow="0" w:firstColumn="1" w:lastColumn="0" w:noHBand="0" w:noVBand="1"/>
      </w:tblPr>
      <w:tblGrid>
        <w:gridCol w:w="4531"/>
        <w:gridCol w:w="914"/>
        <w:gridCol w:w="914"/>
        <w:gridCol w:w="914"/>
        <w:gridCol w:w="914"/>
      </w:tblGrid>
      <w:tr w:rsidR="001F434B" w:rsidRPr="00DF1D96" w:rsidTr="001F434B">
        <w:trPr>
          <w:trHeight w:val="552"/>
        </w:trPr>
        <w:tc>
          <w:tcPr>
            <w:tcW w:w="4531" w:type="dxa"/>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Year ending June</w:t>
            </w:r>
          </w:p>
        </w:tc>
        <w:tc>
          <w:tcPr>
            <w:tcW w:w="0" w:type="auto"/>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2014</w:t>
            </w:r>
          </w:p>
        </w:tc>
        <w:tc>
          <w:tcPr>
            <w:tcW w:w="0" w:type="auto"/>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2015</w:t>
            </w:r>
          </w:p>
        </w:tc>
        <w:tc>
          <w:tcPr>
            <w:tcW w:w="0" w:type="auto"/>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2016</w:t>
            </w:r>
          </w:p>
        </w:tc>
        <w:tc>
          <w:tcPr>
            <w:tcW w:w="0" w:type="auto"/>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2017</w:t>
            </w:r>
          </w:p>
        </w:tc>
      </w:tr>
      <w:tr w:rsidR="001F434B" w:rsidRPr="00DF1D96" w:rsidTr="001F434B">
        <w:trPr>
          <w:trHeight w:val="252"/>
        </w:trPr>
        <w:tc>
          <w:tcPr>
            <w:tcW w:w="4531" w:type="dxa"/>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Number of inpatient treatment orders (or extensions of orders)</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1,784</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1,791</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1,722</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1,690</w:t>
            </w:r>
          </w:p>
        </w:tc>
      </w:tr>
      <w:tr w:rsidR="001F434B" w:rsidRPr="00DF1D96" w:rsidTr="001F434B">
        <w:trPr>
          <w:trHeight w:val="234"/>
        </w:trPr>
        <w:tc>
          <w:tcPr>
            <w:tcW w:w="4531" w:type="dxa"/>
          </w:tcPr>
          <w:p w:rsidR="001F434B" w:rsidRPr="00DF1D96" w:rsidRDefault="001F434B" w:rsidP="00320CC4">
            <w:pPr>
              <w:widowControl w:val="0"/>
              <w:suppressAutoHyphens w:val="0"/>
              <w:spacing w:line="240" w:lineRule="auto"/>
              <w:jc w:val="both"/>
              <w:rPr>
                <w:rFonts w:ascii="Verdana" w:hAnsi="Verdana"/>
                <w:sz w:val="24"/>
              </w:rPr>
            </w:pPr>
            <w:r w:rsidRPr="00DF1D96">
              <w:rPr>
                <w:rFonts w:ascii="Verdana" w:hAnsi="Verdana"/>
                <w:sz w:val="24"/>
              </w:rPr>
              <w:t>Average number of patients subject to inpatient orders (s30) on a given day</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619</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654</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589</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651</w:t>
            </w:r>
          </w:p>
        </w:tc>
      </w:tr>
      <w:tr w:rsidR="001F434B" w:rsidRPr="00DF1D96" w:rsidTr="001F434B">
        <w:trPr>
          <w:trHeight w:val="252"/>
        </w:trPr>
        <w:tc>
          <w:tcPr>
            <w:tcW w:w="4531" w:type="dxa"/>
          </w:tcPr>
          <w:p w:rsidR="001F434B" w:rsidRPr="00DF1D96" w:rsidRDefault="001F434B" w:rsidP="00320CC4">
            <w:pPr>
              <w:widowControl w:val="0"/>
              <w:suppressAutoHyphens w:val="0"/>
              <w:spacing w:line="240" w:lineRule="auto"/>
              <w:jc w:val="both"/>
              <w:rPr>
                <w:rFonts w:ascii="Verdana" w:hAnsi="Verdana"/>
                <w:sz w:val="24"/>
              </w:rPr>
            </w:pPr>
            <w:r w:rsidRPr="00DF1D96">
              <w:rPr>
                <w:rFonts w:ascii="Verdana" w:hAnsi="Verdana"/>
                <w:sz w:val="24"/>
              </w:rPr>
              <w:t>Number of patients per 100,000 on a given day</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14</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14</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12</w:t>
            </w:r>
          </w:p>
        </w:tc>
        <w:tc>
          <w:tcPr>
            <w:tcW w:w="0" w:type="auto"/>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sz w:val="24"/>
              </w:rPr>
              <w:t>13</w:t>
            </w:r>
          </w:p>
        </w:tc>
      </w:tr>
    </w:tbl>
    <w:p w:rsidR="007C3EAB" w:rsidRPr="005330D4" w:rsidRDefault="007C3EAB" w:rsidP="00320CC4">
      <w:pPr>
        <w:pStyle w:val="CRPD-subsectionheading"/>
        <w:numPr>
          <w:ilvl w:val="0"/>
          <w:numId w:val="0"/>
        </w:numPr>
        <w:spacing w:line="240" w:lineRule="auto"/>
        <w:ind w:left="1530"/>
      </w:pPr>
    </w:p>
    <w:p w:rsidR="005330D4" w:rsidRPr="005330D4" w:rsidRDefault="005330D4" w:rsidP="00320CC4">
      <w:pPr>
        <w:pStyle w:val="CRPDSoP-Body"/>
        <w:widowControl w:val="0"/>
        <w:spacing w:line="240" w:lineRule="auto"/>
      </w:pPr>
    </w:p>
    <w:p w:rsidR="004F4EC3" w:rsidRPr="005330D4" w:rsidRDefault="005330D4" w:rsidP="00320CC4">
      <w:pPr>
        <w:pStyle w:val="CRPD-subsectionheading"/>
        <w:spacing w:line="240" w:lineRule="auto"/>
      </w:pPr>
      <w:r w:rsidRPr="005330D4">
        <w:lastRenderedPageBreak/>
        <w:t xml:space="preserve">The </w:t>
      </w:r>
      <w:r w:rsidR="006937BD">
        <w:t>Government</w:t>
      </w:r>
      <w:r w:rsidRPr="005330D4">
        <w:t xml:space="preserve"> does not collect </w:t>
      </w:r>
      <w:r w:rsidR="006937BD">
        <w:t xml:space="preserve">statistical </w:t>
      </w:r>
      <w:r w:rsidRPr="005330D4">
        <w:t>data on complaints of torture or ill-treatment in health facilities. There are several avenues for complaints, including the Health and Disability Commissioner</w:t>
      </w:r>
      <w:r w:rsidR="00F125D0">
        <w:rPr>
          <w:rStyle w:val="FootnoteReference"/>
        </w:rPr>
        <w:footnoteReference w:id="137"/>
      </w:r>
      <w:r w:rsidRPr="005330D4">
        <w:t xml:space="preserve">, District Inspectors for the Mental Health Act and Intellectual Disability Act, the Mental Health Review Tribunal and the National Preventive Mechanism under </w:t>
      </w:r>
      <w:r w:rsidR="006551E2">
        <w:t xml:space="preserve">the Optional Protocol </w:t>
      </w:r>
      <w:r w:rsidR="006551E2" w:rsidRPr="006551E2">
        <w:t>to the Convention against Torture</w:t>
      </w:r>
      <w:r w:rsidRPr="005330D4">
        <w:rPr>
          <w:rStyle w:val="FootnoteReference"/>
        </w:rPr>
        <w:footnoteReference w:id="138"/>
      </w:r>
      <w:r w:rsidRPr="005330D4">
        <w:t>.</w:t>
      </w:r>
    </w:p>
    <w:p w:rsidR="00064B7F" w:rsidRPr="006C46E6" w:rsidRDefault="00027302" w:rsidP="00320CC4">
      <w:pPr>
        <w:pStyle w:val="CRPD-Questionstyle"/>
        <w:spacing w:line="240" w:lineRule="auto"/>
      </w:pPr>
      <w:r>
        <w:t xml:space="preserve">         </w:t>
      </w:r>
      <w:r w:rsidR="00064B7F" w:rsidRPr="00942A6F">
        <w:t>(d)</w:t>
      </w:r>
      <w:r w:rsidR="006317B1">
        <w:t xml:space="preserve"> </w:t>
      </w:r>
      <w:r w:rsidR="00064B7F" w:rsidRPr="00942A6F">
        <w:t xml:space="preserve">Measures taken to require the </w:t>
      </w:r>
      <w:r w:rsidR="002D21E1">
        <w:t>NZ</w:t>
      </w:r>
      <w:r w:rsidR="00064B7F" w:rsidRPr="00942A6F">
        <w:t xml:space="preserve"> Education Review Office to specifically report, as part of the regular review process, on whether or not seclusion and isolation is practised in individual schools;</w:t>
      </w:r>
    </w:p>
    <w:p w:rsidR="00020A3B" w:rsidRPr="00237D85" w:rsidRDefault="00020A3B" w:rsidP="00320CC4">
      <w:pPr>
        <w:pStyle w:val="CRPD-subsectionheading"/>
        <w:spacing w:line="240" w:lineRule="auto"/>
      </w:pPr>
      <w:r w:rsidRPr="00237D85">
        <w:t xml:space="preserve">The </w:t>
      </w:r>
      <w:r w:rsidRPr="00020A3B">
        <w:rPr>
          <w:i/>
        </w:rPr>
        <w:t>Education (Update) Amendment Act 2017</w:t>
      </w:r>
      <w:r w:rsidRPr="00237D85">
        <w:rPr>
          <w:rStyle w:val="FootnoteReference"/>
        </w:rPr>
        <w:footnoteReference w:id="139"/>
      </w:r>
      <w:r w:rsidRPr="00237D85">
        <w:t xml:space="preserve"> prohibited seclusion and regulated the use of restraint in schools.</w:t>
      </w:r>
    </w:p>
    <w:p w:rsidR="00020A3B" w:rsidRDefault="00020A3B" w:rsidP="00320CC4">
      <w:pPr>
        <w:pStyle w:val="CRPD-subsectionheading"/>
        <w:spacing w:line="240" w:lineRule="auto"/>
      </w:pPr>
      <w:r w:rsidRPr="00237D85">
        <w:t xml:space="preserve">This change means no schools should be practicing seclusion or isolation. </w:t>
      </w:r>
      <w:r>
        <w:t>T</w:t>
      </w:r>
      <w:r w:rsidRPr="00237D85">
        <w:t>he Ministry</w:t>
      </w:r>
      <w:r>
        <w:t xml:space="preserve"> of Education</w:t>
      </w:r>
      <w:r w:rsidRPr="00237D85">
        <w:t>’s Directors of Education</w:t>
      </w:r>
      <w:r>
        <w:t xml:space="preserve"> receive </w:t>
      </w:r>
      <w:r w:rsidRPr="00237D85">
        <w:t>reports about the use of seclusion or isolations</w:t>
      </w:r>
      <w:r>
        <w:t xml:space="preserve">. </w:t>
      </w:r>
    </w:p>
    <w:p w:rsidR="00064B7F" w:rsidRPr="00237D85" w:rsidRDefault="00064B7F" w:rsidP="00320CC4">
      <w:pPr>
        <w:pStyle w:val="CRPD-Questionstyle"/>
        <w:widowControl w:val="0"/>
        <w:spacing w:line="240" w:lineRule="auto"/>
        <w:rPr>
          <w:lang w:val="en-NZ"/>
        </w:rPr>
      </w:pPr>
      <w:r w:rsidRPr="00237D85">
        <w:rPr>
          <w:lang w:val="en-NZ"/>
        </w:rPr>
        <w:tab/>
        <w:t>(e)</w:t>
      </w:r>
      <w:r w:rsidRPr="00237D85">
        <w:rPr>
          <w:lang w:val="en-NZ"/>
        </w:rPr>
        <w:tab/>
        <w:t>Measures taken to enforce the am</w:t>
      </w:r>
      <w:r w:rsidR="00C67E97">
        <w:rPr>
          <w:lang w:val="en-NZ"/>
        </w:rPr>
        <w:t>endment to the Education Act 198</w:t>
      </w:r>
      <w:r w:rsidRPr="00237D85">
        <w:rPr>
          <w:lang w:val="en-NZ"/>
        </w:rPr>
        <w:t xml:space="preserve">9 passed in 2017, prohibiting the physical restraint and seclusion of children with disabilities in schools, and measures concerning awareness-raising strategies, including campaigns among teachers and staff working with children with disabilities, in relation to such legislation, and concerning the provision of information in accessible formats to children with disabilities on the scope of the new provisions. </w:t>
      </w:r>
    </w:p>
    <w:p w:rsidR="00B61AF1" w:rsidRDefault="00B61AF1" w:rsidP="00320CC4">
      <w:pPr>
        <w:pStyle w:val="CRPD-subsectionheading"/>
        <w:spacing w:line="240" w:lineRule="auto"/>
      </w:pPr>
      <w:r>
        <w:t>T</w:t>
      </w:r>
      <w:r w:rsidRPr="00B61AF1">
        <w:t>he amendments to the Education Act passed in 2017 banned the practice of seclusion in schools but did n</w:t>
      </w:r>
      <w:r>
        <w:t>ot prohibit physical restraint.</w:t>
      </w:r>
      <w:r w:rsidRPr="00B61AF1">
        <w:t xml:space="preserve"> </w:t>
      </w:r>
      <w:r w:rsidR="00B35591">
        <w:t>They</w:t>
      </w:r>
      <w:r w:rsidRPr="00B61AF1">
        <w:t xml:space="preserve"> set restrictions on the use of restraint to circumstance</w:t>
      </w:r>
      <w:r>
        <w:t>s</w:t>
      </w:r>
      <w:r w:rsidRPr="00B61AF1">
        <w:t xml:space="preserve"> in which serious and imminent harm is evident, and imposed reporting requirements on </w:t>
      </w:r>
      <w:r>
        <w:t>schools when restraint is used.</w:t>
      </w:r>
    </w:p>
    <w:p w:rsidR="00280474" w:rsidRDefault="00280474" w:rsidP="00320CC4">
      <w:pPr>
        <w:pStyle w:val="CRPD-subsectionheading"/>
        <w:spacing w:line="240" w:lineRule="auto"/>
      </w:pPr>
      <w:r>
        <w:lastRenderedPageBreak/>
        <w:t>Th</w:t>
      </w:r>
      <w:r w:rsidRPr="00237D85">
        <w:t>e Education Rules 2017</w:t>
      </w:r>
      <w:r w:rsidRPr="00237D85">
        <w:rPr>
          <w:rStyle w:val="FootnoteReference"/>
        </w:rPr>
        <w:footnoteReference w:id="140"/>
      </w:r>
      <w:r>
        <w:t xml:space="preserve"> </w:t>
      </w:r>
      <w:r w:rsidRPr="00237D85">
        <w:t xml:space="preserve">and the statutory </w:t>
      </w:r>
      <w:r w:rsidRPr="00237D85">
        <w:rPr>
          <w:rStyle w:val="CRPDStateParty-bodyitalicsChar"/>
          <w:noProof w:val="0"/>
        </w:rPr>
        <w:t xml:space="preserve">Guidelines for Registered Schools in </w:t>
      </w:r>
      <w:r>
        <w:rPr>
          <w:rStyle w:val="CRPDStateParty-bodyitalicsChar"/>
          <w:noProof w:val="0"/>
        </w:rPr>
        <w:t>NZ</w:t>
      </w:r>
      <w:r w:rsidRPr="00237D85">
        <w:rPr>
          <w:rStyle w:val="CRPDStateParty-bodyitalicsChar"/>
          <w:noProof w:val="0"/>
        </w:rPr>
        <w:t xml:space="preserve"> on the Use of Physical Restraint</w:t>
      </w:r>
      <w:r w:rsidRPr="00237D85">
        <w:rPr>
          <w:rStyle w:val="FootnoteReference"/>
        </w:rPr>
        <w:footnoteReference w:id="141"/>
      </w:r>
      <w:r>
        <w:t xml:space="preserve"> were created to provide guidance on the </w:t>
      </w:r>
      <w:r w:rsidR="00B61AF1">
        <w:t>use</w:t>
      </w:r>
      <w:r>
        <w:t xml:space="preserve"> of physical restraint.</w:t>
      </w:r>
      <w:r w:rsidR="00B61AF1">
        <w:t xml:space="preserve"> </w:t>
      </w:r>
    </w:p>
    <w:p w:rsidR="00280474" w:rsidRPr="00237D85" w:rsidRDefault="00280474" w:rsidP="00320CC4">
      <w:pPr>
        <w:pStyle w:val="CRPD-subsectionheading"/>
        <w:spacing w:line="240" w:lineRule="auto"/>
      </w:pPr>
      <w:r>
        <w:t xml:space="preserve">The Ministry of Education </w:t>
      </w:r>
      <w:r w:rsidRPr="00F759B5">
        <w:t>have revised the guidelines after one year to ensure clarity and usefulness</w:t>
      </w:r>
      <w:r>
        <w:t xml:space="preserve"> by </w:t>
      </w:r>
      <w:r w:rsidRPr="00F759B5">
        <w:t>organising it by user group, improv</w:t>
      </w:r>
      <w:r>
        <w:t xml:space="preserve">ing </w:t>
      </w:r>
      <w:r w:rsidRPr="00F759B5">
        <w:t xml:space="preserve">clarity around acceptable physical contact, </w:t>
      </w:r>
      <w:r>
        <w:t xml:space="preserve">providing information on how to prevent escalation </w:t>
      </w:r>
      <w:r w:rsidRPr="00F759B5">
        <w:t>and incorporat</w:t>
      </w:r>
      <w:r>
        <w:t>ed</w:t>
      </w:r>
      <w:r w:rsidRPr="00F759B5">
        <w:t xml:space="preserve"> principles and values to guide teacher actions. </w:t>
      </w:r>
      <w:r w:rsidRPr="00F759B5" w:rsidDel="00C072DE">
        <w:t xml:space="preserve"> </w:t>
      </w:r>
    </w:p>
    <w:p w:rsidR="00280474" w:rsidRDefault="00280474" w:rsidP="00320CC4">
      <w:pPr>
        <w:pStyle w:val="CRPD-subsectionheading"/>
        <w:spacing w:line="240" w:lineRule="auto"/>
      </w:pPr>
      <w:r>
        <w:t>These regulations require</w:t>
      </w:r>
      <w:r w:rsidRPr="00237D85">
        <w:t xml:space="preserve"> schools to report all incidents of physical restraint to the Ministry of Education. So far</w:t>
      </w:r>
      <w:r>
        <w:t>,</w:t>
      </w:r>
      <w:r w:rsidRPr="00237D85">
        <w:t xml:space="preserve"> there have been </w:t>
      </w:r>
      <w:r>
        <w:t>3,559</w:t>
      </w:r>
      <w:r w:rsidRPr="00237D85">
        <w:t xml:space="preserve"> reported incidents involving </w:t>
      </w:r>
      <w:r>
        <w:t>0.2% of the 800,000 children and young people in schools</w:t>
      </w:r>
      <w:r w:rsidRPr="00237D85">
        <w:t>. Almost all of the reported incidents have been in primary schools (72</w:t>
      </w:r>
      <w:r>
        <w:t>%</w:t>
      </w:r>
      <w:r w:rsidRPr="00237D85">
        <w:t>) and special schools (22</w:t>
      </w:r>
      <w:r>
        <w:t>%</w:t>
      </w:r>
      <w:r w:rsidRPr="00237D85">
        <w:t>).</w:t>
      </w:r>
    </w:p>
    <w:p w:rsidR="00280474" w:rsidRDefault="00280474" w:rsidP="00320CC4">
      <w:pPr>
        <w:pStyle w:val="CRPD-subsectionheading"/>
        <w:spacing w:line="240" w:lineRule="auto"/>
      </w:pPr>
      <w:r>
        <w:t>There is a suite of positive behaviour supports available to schools to help minimise physical restraint. These preventative frameworks and resources help to upskill school staff in positive behaviour management, therefore reducing the need for physical restraint. Supports include Positive Behaviour for Learning (PB4L) School-Wide, Teaching for Positive Behaviour, PB4L Restorative Practice, and Incredible Years Teacher.</w:t>
      </w:r>
    </w:p>
    <w:p w:rsidR="00280474" w:rsidRPr="00B12F46" w:rsidRDefault="00280474" w:rsidP="00320CC4">
      <w:pPr>
        <w:pStyle w:val="CRPD-subsectionheading"/>
        <w:spacing w:line="240" w:lineRule="auto"/>
      </w:pPr>
      <w:r w:rsidRPr="00237D85">
        <w:t xml:space="preserve">The </w:t>
      </w:r>
      <w:r>
        <w:t>Ministry of Education</w:t>
      </w:r>
      <w:r w:rsidRPr="00237D85">
        <w:t xml:space="preserve"> deliver</w:t>
      </w:r>
      <w:r>
        <w:t>s</w:t>
      </w:r>
      <w:r w:rsidRPr="00237D85">
        <w:t xml:space="preserve"> </w:t>
      </w:r>
      <w:r w:rsidRPr="00237D85">
        <w:rPr>
          <w:i/>
        </w:rPr>
        <w:t>Understanding Behaviour, Responding Safely</w:t>
      </w:r>
      <w:r>
        <w:rPr>
          <w:i/>
        </w:rPr>
        <w:t xml:space="preserve"> </w:t>
      </w:r>
      <w:r w:rsidRPr="00FC4197">
        <w:t xml:space="preserve">(UBRS) </w:t>
      </w:r>
      <w:r w:rsidRPr="00237D85">
        <w:t xml:space="preserve">training to whole-school staff groups. </w:t>
      </w:r>
      <w:r>
        <w:t xml:space="preserve">UBRS focuses </w:t>
      </w:r>
      <w:r w:rsidRPr="00237D85">
        <w:t xml:space="preserve">on </w:t>
      </w:r>
      <w:r w:rsidRPr="00B12F46">
        <w:t>prevention and de-escalation strategies, a</w:t>
      </w:r>
      <w:r>
        <w:t>nd</w:t>
      </w:r>
      <w:r w:rsidRPr="00BF02D4">
        <w:t xml:space="preserve"> </w:t>
      </w:r>
      <w:r>
        <w:t>provides an opportunity to link the legal framework to practice</w:t>
      </w:r>
      <w:r w:rsidRPr="00B12F46">
        <w:t xml:space="preserve">. </w:t>
      </w:r>
      <w:r>
        <w:t>As at 15 February 2019,</w:t>
      </w:r>
      <w:r w:rsidRPr="00B12F46">
        <w:t xml:space="preserve"> </w:t>
      </w:r>
      <w:r>
        <w:t>361</w:t>
      </w:r>
      <w:r w:rsidRPr="00B12F46">
        <w:t xml:space="preserve"> schools have completed the training or have arranged to do so. </w:t>
      </w:r>
    </w:p>
    <w:p w:rsidR="006F7302" w:rsidRDefault="006F7302" w:rsidP="00320CC4">
      <w:pPr>
        <w:pStyle w:val="CRPD-Questionstyle"/>
        <w:widowControl w:val="0"/>
        <w:spacing w:line="240" w:lineRule="auto"/>
        <w:rPr>
          <w:lang w:val="en-NZ"/>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Freedom from exploitation, violence and abuse (art. 16)</w:t>
      </w:r>
    </w:p>
    <w:p w:rsidR="00064B7F" w:rsidRPr="00237D85" w:rsidRDefault="00064B7F" w:rsidP="00320CC4">
      <w:pPr>
        <w:pStyle w:val="CRPD-Questionstyle"/>
        <w:widowControl w:val="0"/>
        <w:spacing w:line="240" w:lineRule="auto"/>
        <w:rPr>
          <w:lang w:val="en-NZ"/>
        </w:rPr>
      </w:pPr>
      <w:r w:rsidRPr="00237D85">
        <w:rPr>
          <w:lang w:val="en-NZ"/>
        </w:rPr>
        <w:t>15.</w:t>
      </w:r>
      <w:r w:rsidRPr="00237D85">
        <w:rPr>
          <w:lang w:val="en-NZ"/>
        </w:rPr>
        <w:tab/>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 xml:space="preserve">Measures taken to ensure and strengthen freedom from exploitation, harm, violence and abuse, including systemic and historic abuse, for all persons with disabilities in all settings, with particular attention to those with psychosocial and/or intellectual disabilities, and women with disabilities, </w:t>
      </w:r>
      <w:r w:rsidRPr="00237D85">
        <w:rPr>
          <w:lang w:val="en-NZ"/>
        </w:rPr>
        <w:lastRenderedPageBreak/>
        <w:t>including through the establishment of accessible oversight, complaint and redress mechanisms;</w:t>
      </w:r>
    </w:p>
    <w:p w:rsidR="00B26EC7" w:rsidRPr="00237D85" w:rsidRDefault="00B26EC7" w:rsidP="00320CC4">
      <w:pPr>
        <w:pStyle w:val="CRPD-subsectionheading"/>
        <w:spacing w:line="240" w:lineRule="auto"/>
      </w:pPr>
      <w:r>
        <w:t>T</w:t>
      </w:r>
      <w:r w:rsidRPr="00237D85">
        <w:t xml:space="preserve">he </w:t>
      </w:r>
      <w:r w:rsidR="002D21E1">
        <w:t>NZ</w:t>
      </w:r>
      <w:r w:rsidRPr="00237D85">
        <w:t xml:space="preserve"> Police investigat</w:t>
      </w:r>
      <w:r>
        <w:t>e</w:t>
      </w:r>
      <w:r w:rsidRPr="00237D85">
        <w:t xml:space="preserve"> </w:t>
      </w:r>
      <w:r>
        <w:t>c</w:t>
      </w:r>
      <w:r w:rsidRPr="00237D85">
        <w:t xml:space="preserve">omplaints </w:t>
      </w:r>
      <w:r>
        <w:t>of</w:t>
      </w:r>
      <w:r w:rsidRPr="00237D85">
        <w:t xml:space="preserve"> criminal behaviour</w:t>
      </w:r>
      <w:r>
        <w:t>.</w:t>
      </w:r>
    </w:p>
    <w:p w:rsidR="00411033" w:rsidRDefault="00411033" w:rsidP="00320CC4">
      <w:pPr>
        <w:pStyle w:val="CRPD-subsectionheading"/>
        <w:spacing w:line="240" w:lineRule="auto"/>
      </w:pPr>
      <w:r w:rsidRPr="00942A6F">
        <w:t>There are no s</w:t>
      </w:r>
      <w:r w:rsidRPr="006C46E6">
        <w:t xml:space="preserve">pecific </w:t>
      </w:r>
      <w:r w:rsidRPr="00942A6F">
        <w:t xml:space="preserve">measures to reduce violence and harm for people with </w:t>
      </w:r>
      <w:r w:rsidRPr="006C46E6">
        <w:t xml:space="preserve">psychosocial and/or intellectual disabilities </w:t>
      </w:r>
      <w:r w:rsidRPr="00942A6F">
        <w:t>nor disabled women.</w:t>
      </w:r>
      <w:r w:rsidRPr="00237D85">
        <w:t xml:space="preserve"> </w:t>
      </w:r>
    </w:p>
    <w:p w:rsidR="00B26EC7" w:rsidRPr="00237D85" w:rsidRDefault="00C67E97" w:rsidP="00320CC4">
      <w:pPr>
        <w:pStyle w:val="CRPD-subsectionheading"/>
        <w:spacing w:line="240" w:lineRule="auto"/>
      </w:pPr>
      <w:r>
        <w:t>Actions</w:t>
      </w:r>
      <w:r w:rsidR="005D52AA">
        <w:t xml:space="preserve"> </w:t>
      </w:r>
      <w:r w:rsidR="00B26EC7" w:rsidRPr="00237D85">
        <w:t xml:space="preserve">to reduce the risk of </w:t>
      </w:r>
      <w:r w:rsidR="005D52AA">
        <w:t>any person</w:t>
      </w:r>
      <w:r w:rsidR="00B26EC7" w:rsidRPr="00237D85">
        <w:t xml:space="preserve"> being subject to exploitation, harm, violence and abuse includes:</w:t>
      </w:r>
    </w:p>
    <w:p w:rsidR="00B26EC7" w:rsidRPr="00942A6F" w:rsidRDefault="00B26EC7" w:rsidP="00320CC4">
      <w:pPr>
        <w:pStyle w:val="CRPDStateParty-bullets"/>
        <w:widowControl w:val="0"/>
        <w:spacing w:line="240" w:lineRule="auto"/>
      </w:pPr>
      <w:r w:rsidRPr="00942A6F">
        <w:t xml:space="preserve">anti-bullying strategies for schools </w:t>
      </w:r>
    </w:p>
    <w:p w:rsidR="00B26EC7" w:rsidRPr="00942A6F" w:rsidRDefault="00B26EC7" w:rsidP="00320CC4">
      <w:pPr>
        <w:pStyle w:val="CRPDStateParty-bullets"/>
        <w:widowControl w:val="0"/>
        <w:spacing w:line="240" w:lineRule="auto"/>
      </w:pPr>
      <w:r w:rsidRPr="00942A6F">
        <w:t xml:space="preserve">work to reduce the risk of elder abuse and neglect </w:t>
      </w:r>
    </w:p>
    <w:p w:rsidR="00B26EC7" w:rsidRPr="00B26EC7" w:rsidRDefault="00411033" w:rsidP="00320CC4">
      <w:pPr>
        <w:pStyle w:val="CRPDStateParty-bullets"/>
        <w:widowControl w:val="0"/>
        <w:spacing w:line="240" w:lineRule="auto"/>
        <w:rPr>
          <w:lang w:val="en-NZ"/>
        </w:rPr>
      </w:pPr>
      <w:r>
        <w:t>t</w:t>
      </w:r>
      <w:r w:rsidR="00B26EC7" w:rsidRPr="00942A6F">
        <w:t>he establishment</w:t>
      </w:r>
      <w:r w:rsidR="00B26EC7" w:rsidRPr="00B26EC7">
        <w:rPr>
          <w:lang w:val="en-NZ"/>
        </w:rPr>
        <w:t xml:space="preserve"> of two inquiries: </w:t>
      </w:r>
      <w:r w:rsidR="00B26EC7" w:rsidRPr="00942A6F">
        <w:rPr>
          <w:i/>
          <w:lang w:val="en-NZ"/>
        </w:rPr>
        <w:t xml:space="preserve">A Royal Commission </w:t>
      </w:r>
      <w:r w:rsidR="00781B02">
        <w:rPr>
          <w:i/>
          <w:lang w:val="en-NZ"/>
        </w:rPr>
        <w:t xml:space="preserve">into Historical Abuse in State </w:t>
      </w:r>
      <w:r w:rsidR="002B154D">
        <w:rPr>
          <w:i/>
          <w:lang w:val="en-NZ"/>
        </w:rPr>
        <w:t>C</w:t>
      </w:r>
      <w:r w:rsidR="00781B02">
        <w:rPr>
          <w:i/>
          <w:lang w:val="en-NZ"/>
        </w:rPr>
        <w:t xml:space="preserve">are and in the Care of Faith-based </w:t>
      </w:r>
      <w:r w:rsidR="002B154D">
        <w:rPr>
          <w:i/>
          <w:lang w:val="en-NZ"/>
        </w:rPr>
        <w:t>I</w:t>
      </w:r>
      <w:r w:rsidR="00781B02">
        <w:rPr>
          <w:i/>
          <w:lang w:val="en-NZ"/>
        </w:rPr>
        <w:t>nstitutions</w:t>
      </w:r>
      <w:r w:rsidR="00B26EC7" w:rsidRPr="00B26EC7">
        <w:rPr>
          <w:lang w:val="en-NZ"/>
        </w:rPr>
        <w:t xml:space="preserve"> (see question 7(d))</w:t>
      </w:r>
      <w:r w:rsidR="00B26EC7" w:rsidRPr="00237D85">
        <w:rPr>
          <w:rStyle w:val="FootnoteReference"/>
          <w:lang w:val="en-NZ"/>
        </w:rPr>
        <w:footnoteReference w:id="142"/>
      </w:r>
      <w:r w:rsidR="00B26EC7" w:rsidRPr="00B26EC7">
        <w:rPr>
          <w:lang w:val="en-NZ"/>
        </w:rPr>
        <w:t xml:space="preserve"> and</w:t>
      </w:r>
      <w:r w:rsidR="00B26EC7">
        <w:rPr>
          <w:lang w:val="en-NZ"/>
        </w:rPr>
        <w:t xml:space="preserve"> </w:t>
      </w:r>
      <w:r w:rsidR="00B26EC7">
        <w:rPr>
          <w:i/>
          <w:lang w:val="en-NZ"/>
        </w:rPr>
        <w:t>t</w:t>
      </w:r>
      <w:r w:rsidR="00B26EC7" w:rsidRPr="00942A6F">
        <w:rPr>
          <w:i/>
          <w:lang w:val="en-NZ"/>
        </w:rPr>
        <w:t>he Government Inquiry into Mental Health and Addiction</w:t>
      </w:r>
      <w:r w:rsidR="00C67E97">
        <w:rPr>
          <w:lang w:val="en-NZ"/>
        </w:rPr>
        <w:t xml:space="preserve"> (see question 13(a</w:t>
      </w:r>
      <w:r>
        <w:rPr>
          <w:lang w:val="en-NZ"/>
        </w:rPr>
        <w:t>))</w:t>
      </w:r>
    </w:p>
    <w:p w:rsidR="00B26EC7" w:rsidRDefault="00B26EC7" w:rsidP="00320CC4">
      <w:pPr>
        <w:pStyle w:val="CRPDStateParty-bullets"/>
        <w:widowControl w:val="0"/>
        <w:spacing w:line="240" w:lineRule="auto"/>
        <w:rPr>
          <w:lang w:val="en-NZ"/>
        </w:rPr>
      </w:pPr>
      <w:r w:rsidRPr="00237D85">
        <w:rPr>
          <w:lang w:val="en-NZ"/>
        </w:rPr>
        <w:t>Netsafe</w:t>
      </w:r>
      <w:r w:rsidRPr="00237D85">
        <w:rPr>
          <w:rStyle w:val="FootnoteReference"/>
          <w:lang w:val="en-NZ"/>
        </w:rPr>
        <w:footnoteReference w:id="143"/>
      </w:r>
      <w:r w:rsidRPr="00237D85">
        <w:rPr>
          <w:lang w:val="en-NZ"/>
        </w:rPr>
        <w:t xml:space="preserve"> receives and resolves complaints about harmful digital communications (</w:t>
      </w:r>
      <w:r w:rsidR="00B70EBF">
        <w:rPr>
          <w:lang w:val="en-NZ"/>
        </w:rPr>
        <w:t>including</w:t>
      </w:r>
      <w:r w:rsidRPr="00237D85">
        <w:rPr>
          <w:lang w:val="en-NZ"/>
        </w:rPr>
        <w:t xml:space="preserve"> online bullying and abuse). If the complaint is not resolved it </w:t>
      </w:r>
      <w:r w:rsidR="00411033">
        <w:rPr>
          <w:lang w:val="en-NZ"/>
        </w:rPr>
        <w:t>can go to t</w:t>
      </w:r>
      <w:r w:rsidR="00C67E97">
        <w:rPr>
          <w:lang w:val="en-NZ"/>
        </w:rPr>
        <w:t>he District C</w:t>
      </w:r>
      <w:r w:rsidR="00411033">
        <w:rPr>
          <w:lang w:val="en-NZ"/>
        </w:rPr>
        <w:t>ourt</w:t>
      </w:r>
    </w:p>
    <w:p w:rsidR="00411033" w:rsidRDefault="00C67E97" w:rsidP="00320CC4">
      <w:pPr>
        <w:pStyle w:val="CRPDStateParty-bullets"/>
        <w:widowControl w:val="0"/>
        <w:spacing w:line="240" w:lineRule="auto"/>
        <w:rPr>
          <w:lang w:val="en-NZ"/>
        </w:rPr>
      </w:pPr>
      <w:r>
        <w:rPr>
          <w:lang w:val="en-NZ"/>
        </w:rPr>
        <w:t>t</w:t>
      </w:r>
      <w:r w:rsidR="00411033">
        <w:rPr>
          <w:lang w:val="en-NZ"/>
        </w:rPr>
        <w:t>he ‘It’s not Ok’ campaign</w:t>
      </w:r>
      <w:r w:rsidR="00411033">
        <w:rPr>
          <w:rStyle w:val="FootnoteReference"/>
          <w:lang w:val="en-NZ"/>
        </w:rPr>
        <w:footnoteReference w:id="144"/>
      </w:r>
      <w:r w:rsidR="00411033">
        <w:rPr>
          <w:lang w:val="en-NZ"/>
        </w:rPr>
        <w:t xml:space="preserve"> is funded by Government to reduce family violence </w:t>
      </w:r>
    </w:p>
    <w:p w:rsidR="00411033" w:rsidRPr="0098402F" w:rsidRDefault="00C67E97" w:rsidP="00320CC4">
      <w:pPr>
        <w:pStyle w:val="CRPDStateParty-bullets"/>
        <w:widowControl w:val="0"/>
        <w:spacing w:line="240" w:lineRule="auto"/>
        <w:rPr>
          <w:lang w:val="en-NZ"/>
        </w:rPr>
      </w:pPr>
      <w:r>
        <w:rPr>
          <w:lang w:val="en-NZ"/>
        </w:rPr>
        <w:t>t</w:t>
      </w:r>
      <w:r w:rsidR="00411033">
        <w:rPr>
          <w:lang w:val="en-NZ"/>
        </w:rPr>
        <w:t>he ‘Pasefika Proud’ campaign</w:t>
      </w:r>
      <w:r w:rsidR="00411033">
        <w:rPr>
          <w:rStyle w:val="FootnoteReference"/>
          <w:lang w:val="en-NZ"/>
        </w:rPr>
        <w:footnoteReference w:id="145"/>
      </w:r>
      <w:r w:rsidR="00411033">
        <w:rPr>
          <w:lang w:val="en-NZ"/>
        </w:rPr>
        <w:t xml:space="preserve"> </w:t>
      </w:r>
      <w:r w:rsidR="00411033" w:rsidRPr="00411033">
        <w:rPr>
          <w:lang w:val="en-NZ"/>
        </w:rPr>
        <w:t xml:space="preserve">addresses violence in Pacific </w:t>
      </w:r>
      <w:r w:rsidR="00411033" w:rsidRPr="0098402F">
        <w:rPr>
          <w:lang w:val="en-NZ"/>
        </w:rPr>
        <w:t>families</w:t>
      </w:r>
    </w:p>
    <w:p w:rsidR="008C0403" w:rsidRPr="0098402F" w:rsidRDefault="008C0403" w:rsidP="00320CC4">
      <w:pPr>
        <w:pStyle w:val="CRPDStateParty-bullets"/>
        <w:widowControl w:val="0"/>
        <w:spacing w:line="240" w:lineRule="auto"/>
        <w:rPr>
          <w:lang w:val="en-NZ"/>
        </w:rPr>
      </w:pPr>
      <w:r w:rsidRPr="0098402F">
        <w:rPr>
          <w:lang w:val="en-NZ"/>
        </w:rPr>
        <w:t>‘E Tū Whānau’</w:t>
      </w:r>
      <w:r w:rsidRPr="0098402F">
        <w:rPr>
          <w:rStyle w:val="FootnoteReference"/>
          <w:lang w:val="en-NZ"/>
        </w:rPr>
        <w:footnoteReference w:id="146"/>
      </w:r>
      <w:r w:rsidRPr="0098402F">
        <w:rPr>
          <w:lang w:val="en-NZ"/>
        </w:rPr>
        <w:t xml:space="preserve"> is a movement for positive change to support strong, resilient whānau free from violence</w:t>
      </w:r>
    </w:p>
    <w:p w:rsidR="008C0403" w:rsidRPr="00237D85" w:rsidRDefault="008C0403" w:rsidP="00320CC4">
      <w:pPr>
        <w:pStyle w:val="CRPDStateParty-bullets"/>
        <w:widowControl w:val="0"/>
        <w:spacing w:line="240" w:lineRule="auto"/>
        <w:rPr>
          <w:lang w:val="en-NZ"/>
        </w:rPr>
      </w:pPr>
      <w:r w:rsidRPr="0098402F">
        <w:rPr>
          <w:lang w:val="en-NZ"/>
        </w:rPr>
        <w:t>‘Safe to Talk’</w:t>
      </w:r>
      <w:r w:rsidRPr="0098402F">
        <w:rPr>
          <w:rStyle w:val="FootnoteReference"/>
          <w:lang w:val="en-NZ"/>
        </w:rPr>
        <w:footnoteReference w:id="147"/>
      </w:r>
      <w:r w:rsidRPr="0098402F">
        <w:rPr>
          <w:lang w:val="en-NZ"/>
        </w:rPr>
        <w:t xml:space="preserve"> is a free confidential</w:t>
      </w:r>
      <w:r>
        <w:rPr>
          <w:lang w:val="en-NZ"/>
        </w:rPr>
        <w:t xml:space="preserve"> sexual harm helpline.</w:t>
      </w: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Measures taken to ensure that legislation, policy and practice relating to domestic violence cover persons with disabilities at risk of violence, exploitation and/or abuse;</w:t>
      </w:r>
    </w:p>
    <w:p w:rsidR="009A3EED" w:rsidRDefault="009A3EED" w:rsidP="00320CC4">
      <w:pPr>
        <w:pStyle w:val="CRPD-subsectionheading"/>
        <w:spacing w:line="240" w:lineRule="auto"/>
      </w:pPr>
      <w:r>
        <w:lastRenderedPageBreak/>
        <w:t xml:space="preserve">In November 2018, Parliament passed </w:t>
      </w:r>
      <w:r>
        <w:rPr>
          <w:i/>
        </w:rPr>
        <w:t>t</w:t>
      </w:r>
      <w:r w:rsidRPr="009A3EED">
        <w:rPr>
          <w:i/>
        </w:rPr>
        <w:t xml:space="preserve">he Family Violence Act 2018 </w:t>
      </w:r>
      <w:r w:rsidRPr="009A3EED">
        <w:t>and</w:t>
      </w:r>
      <w:r w:rsidRPr="009A3EED">
        <w:rPr>
          <w:i/>
        </w:rPr>
        <w:t xml:space="preserve"> Family Violence (Amendments) Act 2018</w:t>
      </w:r>
      <w:r w:rsidRPr="009A3EED">
        <w:t xml:space="preserve">. </w:t>
      </w:r>
      <w:r>
        <w:t>T</w:t>
      </w:r>
      <w:r w:rsidRPr="009A3EED">
        <w:t xml:space="preserve">he Acts make changes to the criminal and civil law to try to break the pattern of family violence. </w:t>
      </w:r>
    </w:p>
    <w:p w:rsidR="009A3EED" w:rsidRPr="009A3EED" w:rsidRDefault="009A3EED" w:rsidP="00320CC4">
      <w:pPr>
        <w:pStyle w:val="CRPD-subsectionheading"/>
        <w:spacing w:line="240" w:lineRule="auto"/>
      </w:pPr>
      <w:r>
        <w:t xml:space="preserve">Both Acts </w:t>
      </w:r>
      <w:r w:rsidRPr="009A3EED">
        <w:t xml:space="preserve">apply equally to disabled and non-disabled people. However, </w:t>
      </w:r>
      <w:r w:rsidRPr="00C67E97">
        <w:t>the</w:t>
      </w:r>
      <w:r w:rsidRPr="009A3EED">
        <w:rPr>
          <w:i/>
        </w:rPr>
        <w:t xml:space="preserve"> Family Violence Act 2018</w:t>
      </w:r>
      <w:r w:rsidRPr="009A3EED">
        <w:t xml:space="preserve"> makes changes specifically recognising the vulnerabilities disabled people may face in family violence situation</w:t>
      </w:r>
      <w:r w:rsidR="001C7C8F">
        <w:rPr>
          <w:rStyle w:val="FootnoteReference"/>
        </w:rPr>
        <w:footnoteReference w:id="148"/>
      </w:r>
      <w:r w:rsidRPr="009A3EED">
        <w:t xml:space="preserve">. </w:t>
      </w:r>
      <w:r w:rsidR="009671B5">
        <w:t>See question 6(c).</w:t>
      </w:r>
    </w:p>
    <w:p w:rsidR="00064B7F" w:rsidRPr="00237D85" w:rsidRDefault="00064B7F" w:rsidP="00320CC4">
      <w:pPr>
        <w:pStyle w:val="CRPD-subsectionheading"/>
        <w:spacing w:line="240" w:lineRule="auto"/>
        <w:rPr>
          <w:b/>
        </w:rPr>
      </w:pPr>
      <w:r w:rsidRPr="00237D85">
        <w:t>The Government published guidance to safeguard disabled people receiving support funded by Disability Support Services in 2016</w:t>
      </w:r>
      <w:r w:rsidRPr="00237D85">
        <w:rPr>
          <w:rStyle w:val="FootnoteReference"/>
        </w:rPr>
        <w:footnoteReference w:id="149"/>
      </w:r>
      <w:r w:rsidRPr="00237D85">
        <w:t xml:space="preserve">. </w:t>
      </w:r>
    </w:p>
    <w:p w:rsidR="00064B7F" w:rsidRPr="00730187" w:rsidRDefault="00064B7F" w:rsidP="00320CC4">
      <w:pPr>
        <w:pStyle w:val="CRPD-Questionstyle"/>
        <w:widowControl w:val="0"/>
        <w:spacing w:line="240" w:lineRule="auto"/>
        <w:rPr>
          <w:lang w:val="en-NZ"/>
        </w:rPr>
      </w:pPr>
      <w:r w:rsidRPr="00237D85">
        <w:rPr>
          <w:lang w:val="en-NZ"/>
        </w:rPr>
        <w:tab/>
        <w:t>(c)</w:t>
      </w:r>
      <w:r w:rsidRPr="00237D85">
        <w:rPr>
          <w:lang w:val="en-NZ"/>
        </w:rPr>
        <w:tab/>
        <w:t xml:space="preserve">Measures taken to provide appropriate counselling for persons with disabilities, particularly those with psychosocial and/or intellectual disabilities, who have been exposed to </w:t>
      </w:r>
      <w:r w:rsidRPr="00730187">
        <w:rPr>
          <w:lang w:val="en-NZ"/>
        </w:rPr>
        <w:t>violence or abuse in institutional and/or other settings.</w:t>
      </w:r>
    </w:p>
    <w:p w:rsidR="00B44E0A" w:rsidRPr="00C67E97" w:rsidRDefault="00B44E0A" w:rsidP="00320CC4">
      <w:pPr>
        <w:pStyle w:val="CRPD-subsectionheading"/>
        <w:spacing w:line="240" w:lineRule="auto"/>
      </w:pPr>
      <w:r w:rsidRPr="00C67E97">
        <w:t xml:space="preserve">See question 7(d) </w:t>
      </w:r>
      <w:r w:rsidR="001B25BD">
        <w:t>regarding</w:t>
      </w:r>
      <w:r w:rsidRPr="00C67E97">
        <w:t xml:space="preserve"> the </w:t>
      </w:r>
      <w:r w:rsidRPr="001B25BD">
        <w:t>Royal Commission</w:t>
      </w:r>
      <w:r w:rsidRPr="00C67E97">
        <w:t xml:space="preserve"> </w:t>
      </w:r>
      <w:r w:rsidR="001B25BD" w:rsidRPr="00781B02">
        <w:t>into Historical Abuse in State Care and in the Care of Faith-based Institutions</w:t>
      </w:r>
      <w:r w:rsidR="001B25BD">
        <w:t>.</w:t>
      </w:r>
    </w:p>
    <w:p w:rsidR="00D60CD5" w:rsidRPr="00237D85" w:rsidRDefault="00D60CD5" w:rsidP="00320CC4">
      <w:pPr>
        <w:pStyle w:val="CRPD-subsectionheading"/>
        <w:spacing w:line="240" w:lineRule="auto"/>
      </w:pPr>
      <w:r w:rsidRPr="00237D85">
        <w:t xml:space="preserve">The </w:t>
      </w:r>
      <w:r w:rsidRPr="00942A6F">
        <w:rPr>
          <w:i/>
        </w:rPr>
        <w:t>Confidential Listening and Assistance Service</w:t>
      </w:r>
      <w:r w:rsidR="009B1549">
        <w:rPr>
          <w:i/>
        </w:rPr>
        <w:t xml:space="preserve"> (</w:t>
      </w:r>
      <w:r w:rsidR="009B1549">
        <w:t>2008 to 2015)</w:t>
      </w:r>
      <w:r w:rsidRPr="00237D85">
        <w:t xml:space="preserve"> funded up to 12 sessions of counselling for </w:t>
      </w:r>
      <w:r w:rsidRPr="00B12F46">
        <w:t>687 people</w:t>
      </w:r>
      <w:r w:rsidR="00B12F46" w:rsidRPr="00B12F46">
        <w:t xml:space="preserve"> </w:t>
      </w:r>
      <w:r w:rsidRPr="00B12F46">
        <w:t>who</w:t>
      </w:r>
      <w:r w:rsidRPr="00237D85">
        <w:t xml:space="preserve"> had concerns or all</w:t>
      </w:r>
      <w:r w:rsidR="00C67E97">
        <w:t>eged abuse or neglect while in s</w:t>
      </w:r>
      <w:r w:rsidRPr="00237D85">
        <w:t xml:space="preserve">tate care. </w:t>
      </w:r>
    </w:p>
    <w:p w:rsidR="00D60CD5" w:rsidRPr="00237D85" w:rsidRDefault="0086359F" w:rsidP="00320CC4">
      <w:pPr>
        <w:pStyle w:val="CRPD-subsectionheading"/>
        <w:spacing w:line="240" w:lineRule="auto"/>
      </w:pPr>
      <w:r>
        <w:t>ACC</w:t>
      </w:r>
      <w:r w:rsidR="00D60CD5" w:rsidRPr="00237D85">
        <w:t xml:space="preserve"> funds support for people who have experienced mental injury</w:t>
      </w:r>
      <w:r w:rsidR="00D60CD5" w:rsidRPr="00237D85">
        <w:rPr>
          <w:rStyle w:val="FootnoteReference"/>
        </w:rPr>
        <w:footnoteReference w:id="150"/>
      </w:r>
      <w:r w:rsidR="00D60CD5">
        <w:t xml:space="preserve"> or have a covered physical injury because of physical abuse and violence and have suffered cognitive, emotional and behavioural problems</w:t>
      </w:r>
      <w:r w:rsidR="00D60CD5" w:rsidRPr="00237D85">
        <w:t xml:space="preserve">. These services include counselling sessions, social work support </w:t>
      </w:r>
      <w:r w:rsidR="00D60CD5">
        <w:t xml:space="preserve">which extends to </w:t>
      </w:r>
      <w:r w:rsidR="00C67E97">
        <w:t xml:space="preserve">families and </w:t>
      </w:r>
      <w:r w:rsidR="00D60CD5" w:rsidRPr="00237D85">
        <w:t>whānau, cultural advice</w:t>
      </w:r>
      <w:r w:rsidR="00D60CD5">
        <w:t xml:space="preserve">, </w:t>
      </w:r>
      <w:r w:rsidR="00D60CD5" w:rsidRPr="00237D85">
        <w:t>group therapy and referral to other publically</w:t>
      </w:r>
      <w:r w:rsidR="00C67E97">
        <w:t>-</w:t>
      </w:r>
      <w:r w:rsidR="00D60CD5" w:rsidRPr="00237D85">
        <w:t xml:space="preserve">funded mental health services. </w:t>
      </w:r>
    </w:p>
    <w:p w:rsidR="00D60CD5" w:rsidRPr="00237D85" w:rsidRDefault="00D60CD5" w:rsidP="00320CC4">
      <w:pPr>
        <w:pStyle w:val="CRPD-subsectionheading"/>
        <w:spacing w:line="240" w:lineRule="auto"/>
      </w:pPr>
      <w:r w:rsidRPr="00237D85">
        <w:lastRenderedPageBreak/>
        <w:t>ACC provides</w:t>
      </w:r>
      <w:r>
        <w:t xml:space="preserve"> immediate support for</w:t>
      </w:r>
      <w:r w:rsidRPr="00237D85">
        <w:t xml:space="preserve"> </w:t>
      </w:r>
      <w:r>
        <w:t>“</w:t>
      </w:r>
      <w:r w:rsidRPr="00237D85">
        <w:t>sensitive claim clients</w:t>
      </w:r>
      <w:r>
        <w:t>”</w:t>
      </w:r>
      <w:r w:rsidR="00C67E97">
        <w:t xml:space="preserve"> so they do not need to </w:t>
      </w:r>
      <w:r w:rsidRPr="00237D85">
        <w:t>wait for their claim to be accepted. Th</w:t>
      </w:r>
      <w:r>
        <w:t xml:space="preserve">is can </w:t>
      </w:r>
      <w:r w:rsidRPr="00237D85">
        <w:t>include</w:t>
      </w:r>
      <w:r>
        <w:t xml:space="preserve"> counselling, social work support and </w:t>
      </w:r>
      <w:r w:rsidR="00487AEB">
        <w:t xml:space="preserve">family and </w:t>
      </w:r>
      <w:r w:rsidRPr="00237D85">
        <w:t>whānau support</w:t>
      </w:r>
      <w:r>
        <w:t>.</w:t>
      </w:r>
    </w:p>
    <w:p w:rsidR="00D60CD5" w:rsidRPr="00237D85" w:rsidRDefault="00D60CD5" w:rsidP="00320CC4">
      <w:pPr>
        <w:pStyle w:val="CRPD-subsectionheading"/>
        <w:spacing w:line="240" w:lineRule="auto"/>
      </w:pPr>
      <w:r w:rsidRPr="00237D85">
        <w:t xml:space="preserve">Where a client does not meet the criteria for mental injury cover, ACC may still provide support, </w:t>
      </w:r>
      <w:r w:rsidR="00B70EBF">
        <w:t>including</w:t>
      </w:r>
      <w:r w:rsidRPr="00237D85">
        <w:t xml:space="preserve"> counselling, if they have mental health issues that present a barrier to their rehabilitation.</w:t>
      </w:r>
    </w:p>
    <w:p w:rsidR="00E44AA8" w:rsidRDefault="00841850" w:rsidP="00320CC4">
      <w:pPr>
        <w:pStyle w:val="CRPD-subsectionheading"/>
        <w:spacing w:line="240" w:lineRule="auto"/>
      </w:pPr>
      <w:r w:rsidRPr="00841850">
        <w:t xml:space="preserve">The </w:t>
      </w:r>
      <w:r w:rsidR="00D60CD5">
        <w:t>Government</w:t>
      </w:r>
      <w:r w:rsidRPr="00841850">
        <w:t xml:space="preserve"> provides assistance to disabled people on a benefit or low income to meet counselling costs t</w:t>
      </w:r>
      <w:r>
        <w:t>hrough the Disability Allowance</w:t>
      </w:r>
      <w:r w:rsidR="00E44AA8">
        <w:rPr>
          <w:rStyle w:val="FootnoteReference"/>
        </w:rPr>
        <w:footnoteReference w:id="151"/>
      </w:r>
      <w:r w:rsidR="00E44AA8">
        <w:t>.</w:t>
      </w:r>
      <w:r w:rsidR="00D60CD5">
        <w:t xml:space="preserve"> </w:t>
      </w:r>
    </w:p>
    <w:p w:rsidR="00972F8B" w:rsidRPr="00EE3301" w:rsidRDefault="00972F8B" w:rsidP="00320CC4">
      <w:pPr>
        <w:pStyle w:val="CRPDSoP-Body"/>
        <w:widowControl w:val="0"/>
        <w:spacing w:line="240" w:lineRule="auto"/>
        <w:ind w:left="0"/>
        <w:rPr>
          <w:noProof w:val="0"/>
          <w:sz w:val="22"/>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Protecting the integrity of the person (art. 17)</w:t>
      </w:r>
    </w:p>
    <w:p w:rsidR="00064B7F" w:rsidRPr="00237D85" w:rsidRDefault="00064B7F" w:rsidP="00320CC4">
      <w:pPr>
        <w:pStyle w:val="CRPD-Questionstyle"/>
        <w:widowControl w:val="0"/>
        <w:spacing w:line="240" w:lineRule="auto"/>
        <w:rPr>
          <w:lang w:val="en-NZ"/>
        </w:rPr>
      </w:pPr>
      <w:r w:rsidRPr="00237D85">
        <w:rPr>
          <w:lang w:val="en-NZ"/>
        </w:rPr>
        <w:t>16.</w:t>
      </w:r>
      <w:r w:rsidRPr="00237D85">
        <w:rPr>
          <w:lang w:val="en-NZ"/>
        </w:rPr>
        <w:tab/>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Measures taken to enact legislation prohibiting and preventing the practice of non-consensual treatments on persons with disabilities, including forced sterilization, genital mutilation and conversion surgeries of intersex persons, with particular attention to children with disabilities;</w:t>
      </w:r>
    </w:p>
    <w:p w:rsidR="00C84BCA" w:rsidRPr="00C84BCA" w:rsidRDefault="00AA2C49" w:rsidP="00320CC4">
      <w:pPr>
        <w:pStyle w:val="CRPD-subsectionheading"/>
        <w:spacing w:line="240" w:lineRule="auto"/>
      </w:pPr>
      <w:r w:rsidRPr="008615AF">
        <w:t xml:space="preserve">No measures have been taken to enact legislation to prevent conversion surgeries of intersex persons. </w:t>
      </w:r>
      <w:r w:rsidR="00C84BCA" w:rsidRPr="00C84BCA">
        <w:t>Female genital mutilation is a crime unless undertaken by a medical practitioner and for the benefit of the person’s physical or mental health. Cultural, religious or other customs or practices must not be taken into account in determining any benefit. Consent of the person is not a defence to this crime.</w:t>
      </w:r>
    </w:p>
    <w:p w:rsidR="008615AF" w:rsidRDefault="008615AF" w:rsidP="00320CC4">
      <w:pPr>
        <w:pStyle w:val="CRPD-subsectionheading"/>
        <w:spacing w:line="240" w:lineRule="auto"/>
      </w:pPr>
      <w:r w:rsidRPr="00DB74CA">
        <w:t xml:space="preserve">The </w:t>
      </w:r>
      <w:r>
        <w:t>Government</w:t>
      </w:r>
      <w:r w:rsidRPr="008615AF">
        <w:rPr>
          <w:i/>
        </w:rPr>
        <w:t xml:space="preserve"> </w:t>
      </w:r>
      <w:r w:rsidRPr="008615AF">
        <w:t>is</w:t>
      </w:r>
      <w:r w:rsidRPr="008615AF">
        <w:rPr>
          <w:i/>
        </w:rPr>
        <w:t xml:space="preserve"> </w:t>
      </w:r>
      <w:r w:rsidRPr="008615AF">
        <w:t xml:space="preserve">working with </w:t>
      </w:r>
      <w:r w:rsidR="00C67E97">
        <w:t xml:space="preserve">the DPO Coalition </w:t>
      </w:r>
      <w:r w:rsidRPr="008615AF">
        <w:t>and disability sector groups to improve safeguards for disabled people against non-therapeutic sterilisation, including consideration of legislative protective measures</w:t>
      </w:r>
      <w:r w:rsidR="00C67E97">
        <w:rPr>
          <w:rStyle w:val="FootnoteReference"/>
        </w:rPr>
        <w:footnoteReference w:id="152"/>
      </w:r>
      <w:r w:rsidRPr="008615AF">
        <w:t>.</w:t>
      </w:r>
    </w:p>
    <w:p w:rsidR="008D1A8E" w:rsidRDefault="009B1549" w:rsidP="00320CC4">
      <w:pPr>
        <w:pStyle w:val="CRPD-subsectionheading"/>
        <w:spacing w:line="240" w:lineRule="auto"/>
      </w:pPr>
      <w:r>
        <w:lastRenderedPageBreak/>
        <w:t>In</w:t>
      </w:r>
      <w:r w:rsidR="008D1A8E" w:rsidRPr="008D1A8E">
        <w:t xml:space="preserve"> July 2018, </w:t>
      </w:r>
      <w:r w:rsidR="00C67E97">
        <w:t>a</w:t>
      </w:r>
      <w:r w:rsidR="008D1A8E" w:rsidRPr="008D1A8E">
        <w:t xml:space="preserve"> Project Reference Group had its fi</w:t>
      </w:r>
      <w:r w:rsidR="00C67E97">
        <w:t>rst meeting. Initial advice to M</w:t>
      </w:r>
      <w:r w:rsidR="008D1A8E" w:rsidRPr="008D1A8E">
        <w:t xml:space="preserve">inisters </w:t>
      </w:r>
      <w:r w:rsidR="00C84BCA">
        <w:t>will be</w:t>
      </w:r>
      <w:r w:rsidR="008D1A8E" w:rsidRPr="008D1A8E">
        <w:t xml:space="preserve"> provided in </w:t>
      </w:r>
      <w:r w:rsidR="00C84BCA">
        <w:t>March</w:t>
      </w:r>
      <w:r w:rsidR="008D1A8E" w:rsidRPr="008D1A8E">
        <w:t xml:space="preserve"> 2019. This is expected to signal a need for further work to scope broader issues around non-consensual t</w:t>
      </w:r>
      <w:r w:rsidR="008D1A8E">
        <w:t>reatments (see question 16(b)).</w:t>
      </w:r>
      <w:r w:rsidR="008D1A8E" w:rsidRPr="008D1A8E">
        <w:t xml:space="preserve"> </w:t>
      </w:r>
    </w:p>
    <w:p w:rsidR="00C02DFC" w:rsidRPr="00730187" w:rsidRDefault="00C02DFC" w:rsidP="00320CC4">
      <w:pPr>
        <w:pStyle w:val="CRPD-subsectionheading"/>
        <w:spacing w:line="240" w:lineRule="auto"/>
      </w:pPr>
      <w:r w:rsidRPr="00942A6F">
        <w:t>Under current legislation</w:t>
      </w:r>
      <w:r w:rsidR="00C67E97">
        <w:rPr>
          <w:rStyle w:val="FootnoteReference"/>
        </w:rPr>
        <w:footnoteReference w:id="153"/>
      </w:r>
      <w:r w:rsidRPr="00942A6F">
        <w:t xml:space="preserve">, </w:t>
      </w:r>
      <w:r w:rsidRPr="00730187">
        <w:t xml:space="preserve">non-consensual sterilisation of disabled people is </w:t>
      </w:r>
      <w:r w:rsidRPr="00942A6F">
        <w:t>lawful</w:t>
      </w:r>
      <w:r w:rsidRPr="00730187">
        <w:t xml:space="preserve"> in </w:t>
      </w:r>
      <w:r w:rsidR="002D21E1">
        <w:t>NZ</w:t>
      </w:r>
      <w:r w:rsidRPr="00730187">
        <w:t xml:space="preserve"> where:</w:t>
      </w:r>
    </w:p>
    <w:p w:rsidR="00C02DFC" w:rsidRPr="00730187" w:rsidRDefault="00C02DFC" w:rsidP="00320CC4">
      <w:pPr>
        <w:pStyle w:val="CRPDStateParty-bullets"/>
        <w:widowControl w:val="0"/>
        <w:spacing w:line="240" w:lineRule="auto"/>
      </w:pPr>
      <w:r w:rsidRPr="00730187">
        <w:t>it is medically necessary</w:t>
      </w:r>
    </w:p>
    <w:p w:rsidR="00C02DFC" w:rsidRPr="0030618F" w:rsidRDefault="00C02DFC" w:rsidP="00320CC4">
      <w:pPr>
        <w:pStyle w:val="CRPDStateParty-bullets"/>
        <w:widowControl w:val="0"/>
        <w:spacing w:line="240" w:lineRule="auto"/>
      </w:pPr>
      <w:r w:rsidRPr="0030618F">
        <w:t xml:space="preserve">the person does not have the capacity to give informed consent to that procedure, and </w:t>
      </w:r>
    </w:p>
    <w:p w:rsidR="00C02DFC" w:rsidRPr="0030618F" w:rsidRDefault="00C02DFC" w:rsidP="00320CC4">
      <w:pPr>
        <w:pStyle w:val="CRPDStateParty-bullets"/>
        <w:widowControl w:val="0"/>
        <w:spacing w:line="240" w:lineRule="auto"/>
      </w:pPr>
      <w:r w:rsidRPr="0030618F">
        <w:t xml:space="preserve">where the person’s clinical needs and welfare cannot be adequately addressed in other ways. </w:t>
      </w:r>
    </w:p>
    <w:p w:rsidR="00C02DFC" w:rsidRPr="00730187" w:rsidRDefault="00C02DFC" w:rsidP="00320CC4">
      <w:pPr>
        <w:pStyle w:val="CRPD-subsectionheading"/>
        <w:spacing w:line="240" w:lineRule="auto"/>
      </w:pPr>
      <w:r w:rsidRPr="0030618F">
        <w:t>Sterilisation may be an unavoidable consequence of some essential medical procedures. Th</w:t>
      </w:r>
      <w:r w:rsidRPr="00AA2C49">
        <w:t>e Government believes that it is unjust to deny effective medical care</w:t>
      </w:r>
      <w:r w:rsidRPr="00730187">
        <w:t xml:space="preserve"> to disabled people where it is medical</w:t>
      </w:r>
      <w:r w:rsidR="008615AF">
        <w:t>ly</w:t>
      </w:r>
      <w:r w:rsidRPr="00730187">
        <w:t xml:space="preserve"> necessary. </w:t>
      </w:r>
    </w:p>
    <w:p w:rsidR="00C02DFC" w:rsidRPr="00730187" w:rsidRDefault="002D21E1" w:rsidP="00320CC4">
      <w:pPr>
        <w:pStyle w:val="CRPD-subsectionheading"/>
        <w:spacing w:line="240" w:lineRule="auto"/>
      </w:pPr>
      <w:r>
        <w:t>NZ</w:t>
      </w:r>
      <w:r w:rsidR="00C02DFC" w:rsidRPr="00237D85">
        <w:t xml:space="preserve"> courts</w:t>
      </w:r>
      <w:r w:rsidR="00C02DFC" w:rsidRPr="00237D85" w:rsidDel="00AD51DE">
        <w:t xml:space="preserve"> </w:t>
      </w:r>
      <w:r w:rsidR="00C02DFC">
        <w:t xml:space="preserve">have </w:t>
      </w:r>
      <w:r w:rsidR="00C02DFC" w:rsidRPr="008615AF">
        <w:t xml:space="preserve">established that non-consensual sterilisation </w:t>
      </w:r>
      <w:r w:rsidR="008615AF" w:rsidRPr="008615AF">
        <w:t xml:space="preserve">that meets the criteria above </w:t>
      </w:r>
      <w:r w:rsidR="00C02DFC" w:rsidRPr="008615AF">
        <w:t>may</w:t>
      </w:r>
      <w:r w:rsidR="00C02DFC" w:rsidRPr="00942A6F">
        <w:t xml:space="preserve"> occur: </w:t>
      </w:r>
    </w:p>
    <w:p w:rsidR="00C02DFC" w:rsidRPr="00C129FE" w:rsidRDefault="00C02DFC" w:rsidP="00320CC4">
      <w:pPr>
        <w:pStyle w:val="CRPDStateParty-bullets"/>
        <w:widowControl w:val="0"/>
        <w:spacing w:line="240" w:lineRule="auto"/>
      </w:pPr>
      <w:r w:rsidRPr="008615AF">
        <w:t xml:space="preserve">with </w:t>
      </w:r>
      <w:r w:rsidRPr="00C129FE">
        <w:t>the court’s consent</w:t>
      </w:r>
    </w:p>
    <w:p w:rsidR="008615AF" w:rsidRPr="00C129FE" w:rsidRDefault="008615AF" w:rsidP="00320CC4">
      <w:pPr>
        <w:pStyle w:val="CRPDStateParty-bullets"/>
        <w:widowControl w:val="0"/>
        <w:spacing w:line="240" w:lineRule="auto"/>
      </w:pPr>
      <w:r w:rsidRPr="00C129FE">
        <w:t xml:space="preserve">without consent in a medical emergency or </w:t>
      </w:r>
    </w:p>
    <w:p w:rsidR="008615AF" w:rsidRPr="008615AF" w:rsidRDefault="008615AF" w:rsidP="00320CC4">
      <w:pPr>
        <w:pStyle w:val="CRPDStateParty-bullets"/>
        <w:widowControl w:val="0"/>
        <w:spacing w:line="240" w:lineRule="auto"/>
      </w:pPr>
      <w:r w:rsidRPr="00C129FE">
        <w:t>where a welfare</w:t>
      </w:r>
      <w:r w:rsidRPr="008615AF">
        <w:t xml:space="preserve"> guardian of the person gives consent to save the person’s life or prevent serious harm to the person’s health</w:t>
      </w:r>
      <w:r w:rsidRPr="008615AF">
        <w:rPr>
          <w:rStyle w:val="FootnoteReference"/>
        </w:rPr>
        <w:footnoteReference w:id="154"/>
      </w:r>
      <w:r w:rsidRPr="008615AF">
        <w:t xml:space="preserve">.  </w:t>
      </w:r>
    </w:p>
    <w:p w:rsidR="00C02DFC" w:rsidRPr="00730187" w:rsidRDefault="00AA2C49" w:rsidP="00320CC4">
      <w:pPr>
        <w:pStyle w:val="CRPD-subsectionheading"/>
        <w:spacing w:line="240" w:lineRule="auto"/>
      </w:pPr>
      <w:r w:rsidRPr="00942A6F">
        <w:t xml:space="preserve">If a person </w:t>
      </w:r>
      <w:r w:rsidRPr="00730187">
        <w:t xml:space="preserve">has the </w:t>
      </w:r>
      <w:r w:rsidRPr="00942A6F">
        <w:t>capacity</w:t>
      </w:r>
      <w:r w:rsidRPr="00730187">
        <w:t xml:space="preserve"> to give or withhold consent then they have the right to: </w:t>
      </w:r>
    </w:p>
    <w:p w:rsidR="00C02DFC" w:rsidRPr="00237D85" w:rsidRDefault="00C02DFC" w:rsidP="00320CC4">
      <w:pPr>
        <w:pStyle w:val="CRPDStateParty-bullets"/>
        <w:widowControl w:val="0"/>
        <w:spacing w:line="240" w:lineRule="auto"/>
      </w:pPr>
      <w:r w:rsidRPr="00237D85">
        <w:t>refuse medical treatment</w:t>
      </w:r>
      <w:r w:rsidRPr="00237D85">
        <w:rPr>
          <w:rStyle w:val="FootnoteReference"/>
        </w:rPr>
        <w:footnoteReference w:id="155"/>
      </w:r>
      <w:r w:rsidRPr="00237D85">
        <w:t xml:space="preserve"> </w:t>
      </w:r>
    </w:p>
    <w:p w:rsidR="008615AF" w:rsidRPr="00027302" w:rsidRDefault="00AA2C49" w:rsidP="00320CC4">
      <w:pPr>
        <w:pStyle w:val="CRPDStateParty-bullets"/>
        <w:widowControl w:val="0"/>
        <w:spacing w:line="240" w:lineRule="auto"/>
        <w:rPr>
          <w:rFonts w:eastAsia="Calibri"/>
          <w:lang w:val="en-NZ"/>
        </w:rPr>
      </w:pPr>
      <w:r>
        <w:t>be</w:t>
      </w:r>
      <w:r w:rsidR="00C02DFC" w:rsidRPr="00237D85">
        <w:t xml:space="preserve"> informed of their rights before treatment</w:t>
      </w:r>
      <w:r w:rsidR="00C02DFC" w:rsidRPr="00237D85">
        <w:rPr>
          <w:rStyle w:val="FootnoteReference"/>
        </w:rPr>
        <w:footnoteReference w:id="156"/>
      </w:r>
      <w:r w:rsidR="00C02DFC" w:rsidRPr="00237D85">
        <w:t xml:space="preserve">. </w:t>
      </w:r>
    </w:p>
    <w:p w:rsidR="00064B7F" w:rsidRPr="00237D85" w:rsidRDefault="00064B7F" w:rsidP="00320CC4">
      <w:pPr>
        <w:pStyle w:val="CRPD-Questionstyle"/>
        <w:widowControl w:val="0"/>
        <w:spacing w:line="240" w:lineRule="auto"/>
        <w:ind w:firstLine="567"/>
        <w:rPr>
          <w:lang w:val="en-NZ"/>
        </w:rPr>
      </w:pPr>
      <w:r w:rsidRPr="00F24ABD">
        <w:rPr>
          <w:lang w:val="en-NZ"/>
        </w:rPr>
        <w:t>(</w:t>
      </w:r>
      <w:r w:rsidRPr="00237D85">
        <w:rPr>
          <w:lang w:val="en-NZ"/>
        </w:rPr>
        <w:t>b)</w:t>
      </w:r>
      <w:r w:rsidRPr="00237D85">
        <w:rPr>
          <w:lang w:val="en-NZ"/>
        </w:rPr>
        <w:tab/>
        <w:t>The practice of Ashley Treatment</w:t>
      </w:r>
      <w:r w:rsidRPr="00237D85">
        <w:rPr>
          <w:rStyle w:val="FootnoteReference"/>
          <w:lang w:val="en-NZ"/>
        </w:rPr>
        <w:footnoteReference w:id="157"/>
      </w:r>
      <w:r w:rsidRPr="00237D85">
        <w:rPr>
          <w:lang w:val="en-NZ"/>
        </w:rPr>
        <w:t xml:space="preserve"> or growth attenuation procedures in the State party, as well as current legal and policy framework of such treatments.</w:t>
      </w:r>
    </w:p>
    <w:p w:rsidR="00385AE2" w:rsidRDefault="00385AE2" w:rsidP="00320CC4">
      <w:pPr>
        <w:pStyle w:val="CRPD-subsectionheading"/>
        <w:spacing w:line="240" w:lineRule="auto"/>
      </w:pPr>
      <w:r>
        <w:t xml:space="preserve">Ashley Treatment can include a number of procedures, including growth attenuation treatment, sterilisation, and removal of breast buds. </w:t>
      </w:r>
    </w:p>
    <w:p w:rsidR="00D86B8A" w:rsidRDefault="00AA2C49" w:rsidP="00320CC4">
      <w:pPr>
        <w:pStyle w:val="CRPD-subsectionheading"/>
        <w:spacing w:line="240" w:lineRule="auto"/>
      </w:pPr>
      <w:r>
        <w:lastRenderedPageBreak/>
        <w:t xml:space="preserve">Action 7(b), </w:t>
      </w:r>
      <w:r w:rsidRPr="00942A6F">
        <w:rPr>
          <w:i/>
        </w:rPr>
        <w:t>Disability Action Plan 2014-2018</w:t>
      </w:r>
      <w:r w:rsidR="00385AE2">
        <w:rPr>
          <w:i/>
        </w:rPr>
        <w:t xml:space="preserve">, </w:t>
      </w:r>
      <w:r w:rsidR="00C84BCA">
        <w:t>may</w:t>
      </w:r>
      <w:r w:rsidR="00385AE2">
        <w:t xml:space="preserve"> create work about</w:t>
      </w:r>
      <w:r w:rsidR="00D86B8A">
        <w:t xml:space="preserve"> the Ashley Treatme</w:t>
      </w:r>
      <w:r w:rsidR="00D86B8A" w:rsidRPr="0037144F">
        <w:t>nt</w:t>
      </w:r>
      <w:r w:rsidR="008615AF" w:rsidRPr="0037144F">
        <w:t>. This has not started yet (s</w:t>
      </w:r>
      <w:r w:rsidR="002F37B8" w:rsidRPr="0037144F">
        <w:t xml:space="preserve">ee question </w:t>
      </w:r>
      <w:r w:rsidR="008615AF" w:rsidRPr="0037144F">
        <w:t>16(a))</w:t>
      </w:r>
      <w:r w:rsidR="002F37B8" w:rsidRPr="0037144F">
        <w:t>.</w:t>
      </w:r>
    </w:p>
    <w:p w:rsidR="00385AE2" w:rsidRDefault="00385AE2" w:rsidP="00320CC4">
      <w:pPr>
        <w:pStyle w:val="CRPD-subsectionheading"/>
        <w:spacing w:line="240" w:lineRule="auto"/>
      </w:pPr>
      <w:r>
        <w:t xml:space="preserve">It is unclear whether growth attenuation treatment to stop a child from growing to an adult size is illegal in </w:t>
      </w:r>
      <w:r w:rsidR="002D21E1">
        <w:t>NZ</w:t>
      </w:r>
      <w:r>
        <w:t xml:space="preserve">. The matter has not been tested in the </w:t>
      </w:r>
      <w:r w:rsidR="002D21E1">
        <w:t>NZ</w:t>
      </w:r>
      <w:r>
        <w:t xml:space="preserve"> Family Courts. It is unknown whether</w:t>
      </w:r>
      <w:r w:rsidR="00C84BCA">
        <w:t xml:space="preserve"> hospital</w:t>
      </w:r>
      <w:r>
        <w:t xml:space="preserve"> ethics committees</w:t>
      </w:r>
      <w:r w:rsidDel="00385AE2">
        <w:t xml:space="preserve"> </w:t>
      </w:r>
      <w:r>
        <w:t>have approved growth a</w:t>
      </w:r>
      <w:r w:rsidR="00C84BCA">
        <w:t>ttenuation of disabled children in NZ. There is one media report of growth attenuation treatment being administered to a disabled child with the approval of two independent ethicists in NZ since 2012</w:t>
      </w:r>
      <w:r w:rsidR="00C84BCA">
        <w:rPr>
          <w:rStyle w:val="FootnoteReference"/>
        </w:rPr>
        <w:footnoteReference w:id="158"/>
      </w:r>
      <w:r w:rsidR="00C84BCA">
        <w:t>.</w:t>
      </w:r>
    </w:p>
    <w:p w:rsidR="00C84BCA" w:rsidRDefault="00385AE2" w:rsidP="00320CC4">
      <w:pPr>
        <w:pStyle w:val="CRPD-subsectionheading"/>
        <w:spacing w:line="240" w:lineRule="auto"/>
      </w:pPr>
      <w:r>
        <w:t xml:space="preserve">Growth attenuation treatment </w:t>
      </w:r>
      <w:r w:rsidR="002F37B8">
        <w:t>has previously been used</w:t>
      </w:r>
      <w:r>
        <w:t xml:space="preserve"> to reduce excessive growth in children without significant ethical dilemmas </w:t>
      </w:r>
      <w:r w:rsidRPr="008615AF">
        <w:t xml:space="preserve">arising. </w:t>
      </w:r>
      <w:r w:rsidR="00C84BCA">
        <w:t>Utilisation data is not available but i</w:t>
      </w:r>
      <w:r w:rsidR="00C84BCA" w:rsidRPr="008615AF">
        <w:t>t is</w:t>
      </w:r>
      <w:r w:rsidR="00C84BCA">
        <w:t xml:space="preserve"> understood the treatment is </w:t>
      </w:r>
      <w:r w:rsidR="00C84BCA" w:rsidRPr="008615AF">
        <w:t>rarely used today.</w:t>
      </w:r>
      <w:r w:rsidR="00C84BCA">
        <w:t xml:space="preserve"> </w:t>
      </w:r>
    </w:p>
    <w:p w:rsidR="00C84BCA" w:rsidRDefault="00C84BCA" w:rsidP="00320CC4">
      <w:pPr>
        <w:pStyle w:val="CRPD-subsectionheading"/>
        <w:spacing w:line="240" w:lineRule="auto"/>
      </w:pPr>
      <w:r w:rsidRPr="0004264A">
        <w:t xml:space="preserve">The last known case of sterilisation of a disabled child </w:t>
      </w:r>
      <w:r>
        <w:t xml:space="preserve">being </w:t>
      </w:r>
      <w:r w:rsidRPr="0004264A">
        <w:t>performed in NZ with the consent of the court who had received growth attenuation treatment overseas was in 2012</w:t>
      </w:r>
      <w:r>
        <w:t>.</w:t>
      </w:r>
      <w:r w:rsidRPr="0004264A">
        <w:t xml:space="preserve"> </w:t>
      </w:r>
    </w:p>
    <w:p w:rsidR="00D86B8A" w:rsidRPr="00237D85" w:rsidRDefault="00385AE2" w:rsidP="00320CC4">
      <w:pPr>
        <w:pStyle w:val="CRPD-subsectionheading"/>
        <w:spacing w:line="240" w:lineRule="auto"/>
      </w:pPr>
      <w:r>
        <w:t xml:space="preserve"> D</w:t>
      </w:r>
      <w:r w:rsidR="00D86B8A">
        <w:t xml:space="preserve">isabled children are not denied access to health and disability services </w:t>
      </w:r>
      <w:r>
        <w:t>if they have</w:t>
      </w:r>
      <w:r w:rsidR="00D86B8A">
        <w:t xml:space="preserve"> had growth attenuation treatment abroad.</w:t>
      </w:r>
    </w:p>
    <w:p w:rsidR="006F7302" w:rsidRDefault="006F7302" w:rsidP="00320CC4">
      <w:pPr>
        <w:pStyle w:val="CRPD-Questionstyle"/>
        <w:widowControl w:val="0"/>
        <w:spacing w:line="240" w:lineRule="auto"/>
        <w:rPr>
          <w:rFonts w:ascii="Times New Roman" w:hAnsi="Times New Roman"/>
          <w:szCs w:val="24"/>
        </w:rPr>
      </w:pPr>
    </w:p>
    <w:p w:rsidR="00064B7F" w:rsidRPr="00EE3301" w:rsidRDefault="00064B7F" w:rsidP="00320CC4">
      <w:pPr>
        <w:pStyle w:val="CRPD-Questionstyle"/>
        <w:widowControl w:val="0"/>
        <w:spacing w:line="240" w:lineRule="auto"/>
        <w:rPr>
          <w:rFonts w:ascii="Times New Roman" w:hAnsi="Times New Roman"/>
          <w:sz w:val="28"/>
          <w:szCs w:val="24"/>
        </w:rPr>
      </w:pPr>
      <w:r w:rsidRPr="00EE3301">
        <w:rPr>
          <w:rFonts w:ascii="Times New Roman" w:hAnsi="Times New Roman"/>
          <w:sz w:val="28"/>
          <w:szCs w:val="24"/>
        </w:rPr>
        <w:t>Liberty of movement and nationality (art. 18)</w:t>
      </w:r>
    </w:p>
    <w:p w:rsidR="00064B7F" w:rsidRPr="00237D85" w:rsidRDefault="00064B7F" w:rsidP="00320CC4">
      <w:pPr>
        <w:pStyle w:val="CRPD-Questionstyle"/>
        <w:widowControl w:val="0"/>
        <w:spacing w:line="240" w:lineRule="auto"/>
        <w:rPr>
          <w:lang w:val="en-NZ"/>
        </w:rPr>
      </w:pPr>
      <w:r w:rsidRPr="00237D85">
        <w:rPr>
          <w:lang w:val="en-NZ"/>
        </w:rPr>
        <w:t>17.</w:t>
      </w:r>
      <w:r w:rsidRPr="00237D85">
        <w:rPr>
          <w:lang w:val="en-NZ"/>
        </w:rPr>
        <w:tab/>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 xml:space="preserve">Measures taken to reduce the denial of residency in </w:t>
      </w:r>
      <w:r w:rsidR="002D21E1">
        <w:rPr>
          <w:lang w:val="en-NZ"/>
        </w:rPr>
        <w:t>NZ</w:t>
      </w:r>
      <w:r w:rsidRPr="00237D85">
        <w:rPr>
          <w:lang w:val="en-NZ"/>
        </w:rPr>
        <w:t xml:space="preserve"> on the grounds of impairment, appeals against such decisions and successful or unsuccessful decisions in the past five years;</w:t>
      </w:r>
    </w:p>
    <w:p w:rsidR="00064B7F" w:rsidRDefault="00962AC5" w:rsidP="00320CC4">
      <w:pPr>
        <w:pStyle w:val="CRPD-subsectionheading"/>
        <w:spacing w:line="240" w:lineRule="auto"/>
      </w:pPr>
      <w:r w:rsidRPr="00237D85">
        <w:t xml:space="preserve">Immigration </w:t>
      </w:r>
      <w:r w:rsidR="002D21E1">
        <w:t>NZ</w:t>
      </w:r>
      <w:r w:rsidR="001248AE">
        <w:t xml:space="preserve"> </w:t>
      </w:r>
      <w:r w:rsidR="00064B7F" w:rsidRPr="00237D85">
        <w:t xml:space="preserve">does not record whether applications for residency and associated appeals were declined on health and disability grounds. </w:t>
      </w:r>
    </w:p>
    <w:p w:rsidR="00064B7F" w:rsidRPr="00237D85" w:rsidRDefault="00064B7F" w:rsidP="00320CC4">
      <w:pPr>
        <w:pStyle w:val="CRPD-subsectionheading"/>
        <w:spacing w:line="240" w:lineRule="auto"/>
      </w:pPr>
      <w:r w:rsidRPr="00237D85">
        <w:t xml:space="preserve">Immigration </w:t>
      </w:r>
      <w:r w:rsidR="002D21E1">
        <w:t>NZ</w:t>
      </w:r>
      <w:r w:rsidRPr="00237D85">
        <w:t xml:space="preserve"> must determine whether a person has an acceptable standard of health when assessing a visa application. </w:t>
      </w:r>
    </w:p>
    <w:p w:rsidR="00CD6819" w:rsidRDefault="00064B7F" w:rsidP="00320CC4">
      <w:pPr>
        <w:pStyle w:val="CRPD-subsectionheading"/>
        <w:spacing w:line="240" w:lineRule="auto"/>
      </w:pPr>
      <w:r w:rsidRPr="00237D85">
        <w:t>This assessment considers whether the person</w:t>
      </w:r>
      <w:r w:rsidR="00CD6819">
        <w:t>:</w:t>
      </w:r>
    </w:p>
    <w:p w:rsidR="00CD6819" w:rsidRDefault="00064B7F" w:rsidP="00320CC4">
      <w:pPr>
        <w:pStyle w:val="CRPDStateParty-bullets"/>
        <w:spacing w:line="240" w:lineRule="auto"/>
      </w:pPr>
      <w:r w:rsidRPr="00237D85">
        <w:t>is likely t</w:t>
      </w:r>
      <w:r w:rsidR="00CD6819">
        <w:t>o be a danger to public health</w:t>
      </w:r>
    </w:p>
    <w:p w:rsidR="00CD6819" w:rsidRDefault="00064B7F" w:rsidP="00320CC4">
      <w:pPr>
        <w:pStyle w:val="CRPDStateParty-bullets"/>
        <w:spacing w:line="240" w:lineRule="auto"/>
      </w:pPr>
      <w:r w:rsidRPr="00237D85">
        <w:lastRenderedPageBreak/>
        <w:t>will impose significant costs and demands on health and education services</w:t>
      </w:r>
      <w:r w:rsidR="00CD6819">
        <w:t>,</w:t>
      </w:r>
      <w:r w:rsidR="00C86B4E" w:rsidRPr="00237D85">
        <w:t xml:space="preserve"> </w:t>
      </w:r>
      <w:r w:rsidRPr="00237D85">
        <w:t xml:space="preserve">and </w:t>
      </w:r>
    </w:p>
    <w:p w:rsidR="00064B7F" w:rsidRPr="00237D85" w:rsidRDefault="00CD6819" w:rsidP="00320CC4">
      <w:pPr>
        <w:pStyle w:val="CRPDStateParty-bullets"/>
        <w:spacing w:line="240" w:lineRule="auto"/>
      </w:pPr>
      <w:r>
        <w:t>is</w:t>
      </w:r>
      <w:r w:rsidR="00064B7F" w:rsidRPr="00237D85">
        <w:t xml:space="preserve"> able to undertake the work or study on the basis of which they are applying for a visa. </w:t>
      </w:r>
    </w:p>
    <w:p w:rsidR="00064B7F" w:rsidRPr="00237D85" w:rsidRDefault="00064B7F" w:rsidP="00320CC4">
      <w:pPr>
        <w:pStyle w:val="CRPD-subsectionheading"/>
        <w:spacing w:line="240" w:lineRule="auto"/>
      </w:pPr>
      <w:r w:rsidRPr="00237D85">
        <w:t xml:space="preserve">Having a disability does not pre-determine whether a person has an acceptable level of health. </w:t>
      </w:r>
    </w:p>
    <w:p w:rsidR="00064B7F" w:rsidRPr="00237D85" w:rsidRDefault="00064B7F" w:rsidP="00320CC4">
      <w:pPr>
        <w:pStyle w:val="CRPD-subsectionheading"/>
        <w:spacing w:line="240" w:lineRule="auto"/>
      </w:pPr>
      <w:r w:rsidRPr="00237D85">
        <w:t xml:space="preserve">Immigration </w:t>
      </w:r>
      <w:r w:rsidR="002D21E1">
        <w:t>NZ</w:t>
      </w:r>
      <w:r w:rsidRPr="00237D85">
        <w:t xml:space="preserve"> can grant a medical waiver in certain circumstances. The agency takes account of each individual’s circumstances inclu</w:t>
      </w:r>
      <w:r w:rsidR="00A41EAE">
        <w:t>ding</w:t>
      </w:r>
      <w:r w:rsidRPr="00237D85">
        <w:t xml:space="preserve"> the likely costs and the ability of family members to contribute to</w:t>
      </w:r>
      <w:r w:rsidR="00A41EAE">
        <w:t xml:space="preserve"> t</w:t>
      </w:r>
      <w:r w:rsidR="00A41EAE" w:rsidRPr="00A41EAE">
        <w:t xml:space="preserve">he likely costs on </w:t>
      </w:r>
      <w:r w:rsidR="00A41EAE">
        <w:t>NZ’s</w:t>
      </w:r>
      <w:r w:rsidR="00A41EAE" w:rsidRPr="00A41EAE">
        <w:t xml:space="preserve"> health services or special education services</w:t>
      </w:r>
      <w:r w:rsidRPr="00237D85">
        <w:t xml:space="preserve">. </w:t>
      </w:r>
    </w:p>
    <w:p w:rsidR="00064B7F" w:rsidRPr="00237D85" w:rsidRDefault="00A41EAE" w:rsidP="00320CC4">
      <w:pPr>
        <w:pStyle w:val="CRPD-subsectionheading"/>
        <w:spacing w:line="240" w:lineRule="auto"/>
      </w:pPr>
      <w:r>
        <w:t>Disabled a</w:t>
      </w:r>
      <w:r w:rsidR="00064B7F" w:rsidRPr="00237D85">
        <w:t xml:space="preserve">pplicants may be eligible for </w:t>
      </w:r>
      <w:r w:rsidR="00730187">
        <w:t>medical</w:t>
      </w:r>
      <w:r w:rsidR="00730187" w:rsidRPr="00237D85">
        <w:t xml:space="preserve"> </w:t>
      </w:r>
      <w:r w:rsidR="00064B7F" w:rsidRPr="00237D85">
        <w:t>waivers even when the costs or demands on health and education services are assessed as significant.</w:t>
      </w: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Measures taken and planned to reduce discrimination against persons with disabilities on the elements of immigration policy and its procedures.</w:t>
      </w:r>
    </w:p>
    <w:p w:rsidR="009C2467" w:rsidRPr="00237D85" w:rsidRDefault="002D21E1" w:rsidP="00320CC4">
      <w:pPr>
        <w:pStyle w:val="CRPD-subsectionheading"/>
        <w:spacing w:line="240" w:lineRule="auto"/>
      </w:pPr>
      <w:r>
        <w:t>NZ</w:t>
      </w:r>
      <w:r w:rsidR="0051724E">
        <w:t xml:space="preserve"> </w:t>
      </w:r>
      <w:r w:rsidR="009C2467" w:rsidRPr="00237D85">
        <w:t xml:space="preserve">law recognises immigration matters are inherently discriminatory, as individuals are treated differently based on personal characteristics. </w:t>
      </w:r>
      <w:r w:rsidR="0051724E" w:rsidRPr="00237D85">
        <w:t xml:space="preserve">Section 392 of the </w:t>
      </w:r>
      <w:r w:rsidR="0051724E" w:rsidRPr="00237D85">
        <w:rPr>
          <w:i/>
        </w:rPr>
        <w:t>Immigration Act 2009</w:t>
      </w:r>
      <w:r w:rsidR="0051724E" w:rsidRPr="00237D85">
        <w:t xml:space="preserve"> identifies the relationship between the </w:t>
      </w:r>
      <w:r w:rsidR="0051724E" w:rsidRPr="00237D85">
        <w:rPr>
          <w:i/>
        </w:rPr>
        <w:t>Immigration Act 2009</w:t>
      </w:r>
      <w:r w:rsidR="0051724E" w:rsidRPr="00237D85">
        <w:t xml:space="preserve"> and the </w:t>
      </w:r>
      <w:r w:rsidR="0051724E" w:rsidRPr="00237D85">
        <w:rPr>
          <w:i/>
        </w:rPr>
        <w:t>Human Rights Act</w:t>
      </w:r>
      <w:r w:rsidR="0051724E" w:rsidRPr="00237D85">
        <w:t xml:space="preserve"> </w:t>
      </w:r>
      <w:r w:rsidR="0051724E" w:rsidRPr="00237D85">
        <w:rPr>
          <w:i/>
        </w:rPr>
        <w:t>1993</w:t>
      </w:r>
      <w:r w:rsidR="0051724E" w:rsidRPr="00237D85">
        <w:t>.</w:t>
      </w:r>
    </w:p>
    <w:p w:rsidR="009C2467" w:rsidRPr="00237D85" w:rsidRDefault="009C2467" w:rsidP="00320CC4">
      <w:pPr>
        <w:pStyle w:val="CRPD-subsectionheading"/>
        <w:spacing w:line="240" w:lineRule="auto"/>
      </w:pPr>
      <w:r w:rsidRPr="00237D85">
        <w:t xml:space="preserve">Immigration </w:t>
      </w:r>
      <w:r w:rsidR="002D21E1">
        <w:t>NZ</w:t>
      </w:r>
      <w:r w:rsidRPr="00237D85">
        <w:t xml:space="preserve"> still </w:t>
      </w:r>
      <w:r w:rsidR="0051724E">
        <w:t>aims</w:t>
      </w:r>
      <w:r w:rsidR="0051724E" w:rsidRPr="00237D85">
        <w:t xml:space="preserve"> </w:t>
      </w:r>
      <w:r w:rsidRPr="00237D85">
        <w:t xml:space="preserve">to comply with human rights legislation. Where there is an apparent departure, there </w:t>
      </w:r>
      <w:r w:rsidR="0051724E">
        <w:t xml:space="preserve">needs to be </w:t>
      </w:r>
      <w:r w:rsidRPr="00237D85">
        <w:t xml:space="preserve">sufficient reason to do so. </w:t>
      </w:r>
    </w:p>
    <w:p w:rsidR="00064B7F" w:rsidRPr="00237D85" w:rsidRDefault="009C2467" w:rsidP="00320CC4">
      <w:pPr>
        <w:pStyle w:val="CRPD-subsectionheading"/>
        <w:spacing w:line="240" w:lineRule="auto"/>
      </w:pPr>
      <w:r w:rsidRPr="00237D85">
        <w:t xml:space="preserve">The </w:t>
      </w:r>
      <w:r w:rsidR="0051724E">
        <w:t>Government</w:t>
      </w:r>
      <w:r w:rsidRPr="00237D85">
        <w:t xml:space="preserve"> considers its immigration health policy </w:t>
      </w:r>
      <w:r w:rsidR="0051724E">
        <w:t>is</w:t>
      </w:r>
      <w:r w:rsidRPr="00237D85">
        <w:t xml:space="preserve"> appropriate under the </w:t>
      </w:r>
      <w:r w:rsidR="003D1AC6" w:rsidRPr="00237D85">
        <w:t>CRPD</w:t>
      </w:r>
      <w:r w:rsidRPr="00237D85">
        <w:t xml:space="preserve"> due to the public health risks associated with imported diseases and the need to manage excessive cost to</w:t>
      </w:r>
      <w:r w:rsidR="0051724E">
        <w:t>,</w:t>
      </w:r>
      <w:r w:rsidRPr="00237D85">
        <w:t xml:space="preserve"> and demand on</w:t>
      </w:r>
      <w:r w:rsidR="0051724E">
        <w:t>,</w:t>
      </w:r>
      <w:r w:rsidRPr="00237D85">
        <w:t xml:space="preserve"> the public health system.</w:t>
      </w:r>
      <w:r w:rsidR="00064B7F" w:rsidRPr="00237D85">
        <w:t xml:space="preserve"> </w:t>
      </w:r>
    </w:p>
    <w:p w:rsidR="006F7302" w:rsidRPr="00EE3301" w:rsidRDefault="006F7302" w:rsidP="00320CC4">
      <w:pPr>
        <w:pStyle w:val="CRPD-Questionstyle"/>
        <w:widowControl w:val="0"/>
        <w:spacing w:line="240" w:lineRule="auto"/>
        <w:rPr>
          <w:sz w:val="28"/>
          <w:lang w:val="en-NZ"/>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Living independently and being included in the community (art. 19)</w:t>
      </w:r>
    </w:p>
    <w:p w:rsidR="00064B7F" w:rsidRPr="00237D85" w:rsidRDefault="00064B7F" w:rsidP="00320CC4">
      <w:pPr>
        <w:pStyle w:val="CRPD-Questionstyle"/>
        <w:widowControl w:val="0"/>
        <w:spacing w:line="240" w:lineRule="auto"/>
        <w:rPr>
          <w:lang w:val="en-NZ"/>
        </w:rPr>
      </w:pPr>
      <w:r w:rsidRPr="00237D85">
        <w:rPr>
          <w:lang w:val="en-NZ"/>
        </w:rPr>
        <w:t>18.</w:t>
      </w:r>
      <w:r w:rsidRPr="00237D85">
        <w:rPr>
          <w:lang w:val="en-NZ"/>
        </w:rPr>
        <w:tab/>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Measures taken and resources invested to extend the coverage of the independent living model and the Enabling Goods Lives programme to ensure that all persons with disabilities live independently and are included in the community;</w:t>
      </w:r>
    </w:p>
    <w:p w:rsidR="007F31A3" w:rsidRPr="00CD6819" w:rsidRDefault="00CD6819" w:rsidP="00320CC4">
      <w:pPr>
        <w:pStyle w:val="CRPD-subsectionheading"/>
        <w:spacing w:line="240" w:lineRule="auto"/>
      </w:pPr>
      <w:r>
        <w:lastRenderedPageBreak/>
        <w:t xml:space="preserve">The Enabling Good Lives programme has been extended. </w:t>
      </w:r>
      <w:r w:rsidR="00064B7F" w:rsidRPr="00CD6819">
        <w:t xml:space="preserve">See </w:t>
      </w:r>
      <w:r w:rsidR="008F00BB" w:rsidRPr="00CD6819">
        <w:t>introduct</w:t>
      </w:r>
      <w:r w:rsidR="0051724E" w:rsidRPr="00CD6819">
        <w:t>ion.</w:t>
      </w:r>
      <w:r w:rsidR="00416B11" w:rsidRPr="00CD6819">
        <w:t xml:space="preserve"> </w:t>
      </w:r>
    </w:p>
    <w:p w:rsidR="001F434B" w:rsidRDefault="001F434B" w:rsidP="00320CC4">
      <w:pPr>
        <w:suppressAutoHyphens w:val="0"/>
        <w:spacing w:line="240" w:lineRule="auto"/>
        <w:rPr>
          <w:rFonts w:ascii="Verdana" w:hAnsi="Verdana"/>
          <w:b/>
          <w:sz w:val="24"/>
          <w:lang w:eastAsia="zh-CN"/>
        </w:rPr>
      </w:pPr>
    </w:p>
    <w:p w:rsidR="007F31A3" w:rsidRPr="00CD6819" w:rsidRDefault="00540365" w:rsidP="00320CC4">
      <w:pPr>
        <w:pStyle w:val="CRPD-Questionstyle"/>
        <w:spacing w:line="240" w:lineRule="auto"/>
      </w:pPr>
      <w:r w:rsidRPr="00CD6819">
        <w:t xml:space="preserve">Table: Funding sources from the </w:t>
      </w:r>
      <w:r w:rsidR="00BB525A" w:rsidRPr="00CD6819">
        <w:t>B</w:t>
      </w:r>
      <w:r w:rsidRPr="00CD6819">
        <w:t xml:space="preserve">udget </w:t>
      </w:r>
      <w:r w:rsidR="00BB525A" w:rsidRPr="00CD6819">
        <w:t xml:space="preserve">allocations </w:t>
      </w:r>
      <w:r w:rsidRPr="00CD6819">
        <w:t xml:space="preserve">for </w:t>
      </w:r>
      <w:r w:rsidR="00CD6819">
        <w:t xml:space="preserve">the </w:t>
      </w:r>
      <w:r w:rsidRPr="00CD6819">
        <w:t>disability support system transformation</w:t>
      </w:r>
      <w:r w:rsidR="00CD6819">
        <w:t xml:space="preserve"> prototype</w:t>
      </w:r>
    </w:p>
    <w:tbl>
      <w:tblPr>
        <w:tblStyle w:val="TableGridLight1"/>
        <w:tblW w:w="3938" w:type="pct"/>
        <w:tblInd w:w="945" w:type="dxa"/>
        <w:tblLayout w:type="fixed"/>
        <w:tblLook w:val="04A0" w:firstRow="1" w:lastRow="0" w:firstColumn="1" w:lastColumn="0" w:noHBand="0" w:noVBand="1"/>
      </w:tblPr>
      <w:tblGrid>
        <w:gridCol w:w="4679"/>
        <w:gridCol w:w="1559"/>
        <w:gridCol w:w="1524"/>
      </w:tblGrid>
      <w:tr w:rsidR="007F31A3" w:rsidRPr="00DF1D96" w:rsidTr="001F434B">
        <w:trPr>
          <w:trHeight w:val="293"/>
        </w:trPr>
        <w:tc>
          <w:tcPr>
            <w:tcW w:w="3014" w:type="pct"/>
            <w:noWrap/>
            <w:hideMark/>
          </w:tcPr>
          <w:p w:rsidR="007F31A3" w:rsidRPr="00DF1D96" w:rsidRDefault="007F31A3" w:rsidP="00320CC4">
            <w:pPr>
              <w:widowControl w:val="0"/>
              <w:spacing w:line="240" w:lineRule="auto"/>
              <w:jc w:val="both"/>
              <w:rPr>
                <w:rFonts w:ascii="Verdana" w:hAnsi="Verdana"/>
                <w:b/>
                <w:color w:val="000000"/>
                <w:sz w:val="24"/>
                <w:lang w:eastAsia="en-NZ"/>
              </w:rPr>
            </w:pPr>
          </w:p>
        </w:tc>
        <w:tc>
          <w:tcPr>
            <w:tcW w:w="1004" w:type="pct"/>
          </w:tcPr>
          <w:p w:rsidR="007F31A3" w:rsidRPr="00BB2BE6" w:rsidRDefault="007F31A3" w:rsidP="00320CC4">
            <w:pPr>
              <w:widowControl w:val="0"/>
              <w:spacing w:line="240" w:lineRule="auto"/>
              <w:jc w:val="both"/>
              <w:rPr>
                <w:rFonts w:ascii="Verdana" w:hAnsi="Verdana"/>
                <w:b/>
                <w:bCs/>
                <w:color w:val="000000"/>
                <w:sz w:val="24"/>
                <w:lang w:eastAsia="en-NZ"/>
              </w:rPr>
            </w:pPr>
            <w:r w:rsidRPr="00BB2BE6">
              <w:rPr>
                <w:rFonts w:ascii="Verdana" w:hAnsi="Verdana"/>
                <w:b/>
                <w:bCs/>
                <w:color w:val="000000"/>
                <w:sz w:val="24"/>
                <w:lang w:eastAsia="en-NZ"/>
              </w:rPr>
              <w:t>2018/19</w:t>
            </w:r>
          </w:p>
        </w:tc>
        <w:tc>
          <w:tcPr>
            <w:tcW w:w="982" w:type="pct"/>
          </w:tcPr>
          <w:p w:rsidR="007F31A3" w:rsidRPr="00BB2BE6" w:rsidRDefault="007F31A3" w:rsidP="00320CC4">
            <w:pPr>
              <w:widowControl w:val="0"/>
              <w:spacing w:line="240" w:lineRule="auto"/>
              <w:jc w:val="both"/>
              <w:rPr>
                <w:rFonts w:ascii="Verdana" w:hAnsi="Verdana"/>
                <w:b/>
                <w:bCs/>
                <w:color w:val="000000"/>
                <w:sz w:val="24"/>
                <w:lang w:eastAsia="en-NZ"/>
              </w:rPr>
            </w:pPr>
            <w:r w:rsidRPr="00BB2BE6">
              <w:rPr>
                <w:rFonts w:ascii="Verdana" w:hAnsi="Verdana"/>
                <w:b/>
                <w:bCs/>
                <w:color w:val="000000"/>
                <w:sz w:val="24"/>
                <w:lang w:eastAsia="en-NZ"/>
              </w:rPr>
              <w:t>2019/20</w:t>
            </w:r>
          </w:p>
        </w:tc>
      </w:tr>
      <w:tr w:rsidR="007F31A3" w:rsidRPr="00DF1D96" w:rsidTr="001F434B">
        <w:trPr>
          <w:trHeight w:val="293"/>
        </w:trPr>
        <w:tc>
          <w:tcPr>
            <w:tcW w:w="3014" w:type="pct"/>
            <w:noWrap/>
            <w:hideMark/>
          </w:tcPr>
          <w:p w:rsidR="007F31A3" w:rsidRPr="00BB2BE6" w:rsidRDefault="007F31A3" w:rsidP="00320CC4">
            <w:pPr>
              <w:widowControl w:val="0"/>
              <w:spacing w:line="240" w:lineRule="auto"/>
              <w:jc w:val="both"/>
              <w:rPr>
                <w:rFonts w:ascii="Verdana" w:hAnsi="Verdana"/>
                <w:color w:val="000000"/>
                <w:sz w:val="24"/>
                <w:lang w:eastAsia="en-NZ"/>
              </w:rPr>
            </w:pPr>
            <w:r w:rsidRPr="00BB2BE6">
              <w:rPr>
                <w:rFonts w:ascii="Verdana" w:hAnsi="Verdana"/>
                <w:color w:val="000000"/>
                <w:sz w:val="24"/>
                <w:lang w:eastAsia="en-NZ"/>
              </w:rPr>
              <w:t>Eq</w:t>
            </w:r>
            <w:r w:rsidR="00CD6819" w:rsidRPr="00BB2BE6">
              <w:rPr>
                <w:rFonts w:ascii="Verdana" w:hAnsi="Verdana"/>
                <w:color w:val="000000"/>
                <w:sz w:val="24"/>
                <w:lang w:eastAsia="en-NZ"/>
              </w:rPr>
              <w:t xml:space="preserve">uitable proportion of </w:t>
            </w:r>
            <w:r w:rsidR="00C84BCA" w:rsidRPr="00BB2BE6">
              <w:rPr>
                <w:rFonts w:ascii="Verdana" w:hAnsi="Verdana"/>
                <w:color w:val="000000"/>
                <w:sz w:val="24"/>
                <w:lang w:eastAsia="en-NZ"/>
              </w:rPr>
              <w:t>Vote Health</w:t>
            </w:r>
            <w:r w:rsidR="00CD6819" w:rsidRPr="00BB2BE6">
              <w:rPr>
                <w:rFonts w:ascii="Verdana" w:hAnsi="Verdana"/>
                <w:color w:val="000000"/>
                <w:sz w:val="24"/>
                <w:lang w:eastAsia="en-NZ"/>
              </w:rPr>
              <w:t xml:space="preserve"> disability support </w:t>
            </w:r>
            <w:r w:rsidRPr="00BB2BE6">
              <w:rPr>
                <w:rFonts w:ascii="Verdana" w:hAnsi="Verdana"/>
                <w:color w:val="000000"/>
                <w:sz w:val="24"/>
                <w:lang w:eastAsia="en-NZ"/>
              </w:rPr>
              <w:t xml:space="preserve">funding </w:t>
            </w:r>
          </w:p>
        </w:tc>
        <w:tc>
          <w:tcPr>
            <w:tcW w:w="1004" w:type="pct"/>
          </w:tcPr>
          <w:p w:rsidR="007F31A3" w:rsidRPr="00BB2BE6" w:rsidRDefault="00BB2BE6" w:rsidP="00320CC4">
            <w:pPr>
              <w:widowControl w:val="0"/>
              <w:spacing w:line="240" w:lineRule="auto"/>
              <w:jc w:val="both"/>
              <w:rPr>
                <w:rFonts w:ascii="Verdana" w:hAnsi="Verdana"/>
                <w:color w:val="000000"/>
                <w:sz w:val="24"/>
                <w:lang w:eastAsia="en-NZ"/>
              </w:rPr>
            </w:pPr>
            <w:r w:rsidRPr="00BB2BE6">
              <w:rPr>
                <w:rFonts w:ascii="Verdana" w:hAnsi="Verdana"/>
                <w:color w:val="000000"/>
                <w:sz w:val="24"/>
                <w:lang w:eastAsia="en-NZ"/>
              </w:rPr>
              <w:t>$</w:t>
            </w:r>
            <w:r w:rsidR="007F31A3" w:rsidRPr="00BB2BE6">
              <w:rPr>
                <w:rFonts w:ascii="Verdana" w:hAnsi="Verdana"/>
                <w:color w:val="000000"/>
                <w:sz w:val="24"/>
                <w:lang w:eastAsia="en-NZ"/>
              </w:rPr>
              <w:t>71.79</w:t>
            </w:r>
            <w:r w:rsidRPr="00BB2BE6">
              <w:rPr>
                <w:rFonts w:ascii="Verdana" w:hAnsi="Verdana"/>
                <w:color w:val="000000"/>
                <w:sz w:val="24"/>
                <w:lang w:eastAsia="en-NZ"/>
              </w:rPr>
              <w:t>m</w:t>
            </w:r>
          </w:p>
        </w:tc>
        <w:tc>
          <w:tcPr>
            <w:tcW w:w="982" w:type="pct"/>
            <w:noWrap/>
            <w:hideMark/>
          </w:tcPr>
          <w:p w:rsidR="007F31A3" w:rsidRPr="00BB2BE6" w:rsidRDefault="00BB2BE6" w:rsidP="00320CC4">
            <w:pPr>
              <w:widowControl w:val="0"/>
              <w:spacing w:line="240" w:lineRule="auto"/>
              <w:jc w:val="both"/>
              <w:rPr>
                <w:rFonts w:ascii="Verdana" w:hAnsi="Verdana"/>
                <w:color w:val="000000"/>
                <w:sz w:val="24"/>
                <w:lang w:eastAsia="en-NZ"/>
              </w:rPr>
            </w:pPr>
            <w:r w:rsidRPr="00BB2BE6">
              <w:rPr>
                <w:rFonts w:ascii="Verdana" w:hAnsi="Verdana"/>
                <w:color w:val="000000"/>
                <w:sz w:val="24"/>
                <w:lang w:eastAsia="en-NZ"/>
              </w:rPr>
              <w:t>$</w:t>
            </w:r>
            <w:r w:rsidR="007F31A3" w:rsidRPr="00BB2BE6">
              <w:rPr>
                <w:rFonts w:ascii="Verdana" w:hAnsi="Verdana"/>
                <w:color w:val="000000"/>
                <w:sz w:val="24"/>
                <w:lang w:eastAsia="en-NZ"/>
              </w:rPr>
              <w:t>71.51</w:t>
            </w:r>
            <w:r w:rsidRPr="00BB2BE6">
              <w:rPr>
                <w:rFonts w:ascii="Verdana" w:hAnsi="Verdana"/>
                <w:color w:val="000000"/>
                <w:sz w:val="24"/>
                <w:lang w:eastAsia="en-NZ"/>
              </w:rPr>
              <w:t>m</w:t>
            </w:r>
          </w:p>
        </w:tc>
      </w:tr>
      <w:tr w:rsidR="007F31A3" w:rsidRPr="00DF1D96" w:rsidTr="001F434B">
        <w:trPr>
          <w:trHeight w:val="293"/>
        </w:trPr>
        <w:tc>
          <w:tcPr>
            <w:tcW w:w="3014" w:type="pct"/>
            <w:noWrap/>
            <w:hideMark/>
          </w:tcPr>
          <w:p w:rsidR="007F31A3" w:rsidRPr="00BB2BE6" w:rsidRDefault="007F31A3" w:rsidP="00320CC4">
            <w:pPr>
              <w:widowControl w:val="0"/>
              <w:spacing w:line="240" w:lineRule="auto"/>
              <w:jc w:val="both"/>
              <w:rPr>
                <w:rFonts w:ascii="Verdana" w:hAnsi="Verdana"/>
                <w:color w:val="000000"/>
                <w:sz w:val="24"/>
                <w:lang w:eastAsia="en-NZ"/>
              </w:rPr>
            </w:pPr>
            <w:r w:rsidRPr="00BB2BE6">
              <w:rPr>
                <w:rFonts w:ascii="Verdana" w:hAnsi="Verdana"/>
                <w:color w:val="000000"/>
                <w:sz w:val="24"/>
                <w:lang w:eastAsia="en-NZ"/>
              </w:rPr>
              <w:t xml:space="preserve">Budget 2017 Contingency funding </w:t>
            </w:r>
          </w:p>
        </w:tc>
        <w:tc>
          <w:tcPr>
            <w:tcW w:w="1004" w:type="pct"/>
          </w:tcPr>
          <w:p w:rsidR="007F31A3" w:rsidRPr="00BB2BE6" w:rsidRDefault="00BB2BE6" w:rsidP="00320CC4">
            <w:pPr>
              <w:widowControl w:val="0"/>
              <w:spacing w:line="240" w:lineRule="auto"/>
              <w:jc w:val="both"/>
              <w:rPr>
                <w:rFonts w:ascii="Verdana" w:hAnsi="Verdana"/>
                <w:color w:val="000000"/>
                <w:sz w:val="24"/>
                <w:lang w:eastAsia="en-NZ"/>
              </w:rPr>
            </w:pPr>
            <w:r w:rsidRPr="00BB2BE6">
              <w:rPr>
                <w:rFonts w:ascii="Verdana" w:hAnsi="Verdana"/>
                <w:color w:val="000000"/>
                <w:sz w:val="24"/>
                <w:lang w:eastAsia="en-NZ"/>
              </w:rPr>
              <w:t>$</w:t>
            </w:r>
            <w:r w:rsidR="007F31A3" w:rsidRPr="00BB2BE6">
              <w:rPr>
                <w:rFonts w:ascii="Verdana" w:hAnsi="Verdana"/>
                <w:color w:val="000000"/>
                <w:sz w:val="24"/>
                <w:lang w:eastAsia="en-NZ"/>
              </w:rPr>
              <w:t>11.29</w:t>
            </w:r>
            <w:r w:rsidRPr="00BB2BE6">
              <w:rPr>
                <w:rFonts w:ascii="Verdana" w:hAnsi="Verdana"/>
                <w:color w:val="000000"/>
                <w:sz w:val="24"/>
                <w:lang w:eastAsia="en-NZ"/>
              </w:rPr>
              <w:t>m</w:t>
            </w:r>
          </w:p>
        </w:tc>
        <w:tc>
          <w:tcPr>
            <w:tcW w:w="982" w:type="pct"/>
            <w:noWrap/>
            <w:hideMark/>
          </w:tcPr>
          <w:p w:rsidR="007F31A3" w:rsidRPr="00BB2BE6" w:rsidRDefault="00BB2BE6" w:rsidP="00320CC4">
            <w:pPr>
              <w:widowControl w:val="0"/>
              <w:spacing w:line="240" w:lineRule="auto"/>
              <w:jc w:val="both"/>
              <w:rPr>
                <w:rFonts w:ascii="Verdana" w:hAnsi="Verdana"/>
                <w:color w:val="000000"/>
                <w:sz w:val="24"/>
                <w:lang w:eastAsia="en-NZ"/>
              </w:rPr>
            </w:pPr>
            <w:r w:rsidRPr="00BB2BE6">
              <w:rPr>
                <w:rFonts w:ascii="Verdana" w:hAnsi="Verdana"/>
                <w:color w:val="000000"/>
                <w:sz w:val="24"/>
                <w:lang w:eastAsia="en-NZ"/>
              </w:rPr>
              <w:t>$</w:t>
            </w:r>
            <w:r w:rsidR="007F31A3" w:rsidRPr="00BB2BE6">
              <w:rPr>
                <w:rFonts w:ascii="Verdana" w:hAnsi="Verdana"/>
                <w:color w:val="000000"/>
                <w:sz w:val="24"/>
                <w:lang w:eastAsia="en-NZ"/>
              </w:rPr>
              <w:t>9.95</w:t>
            </w:r>
            <w:r w:rsidRPr="00BB2BE6">
              <w:rPr>
                <w:rFonts w:ascii="Verdana" w:hAnsi="Verdana"/>
                <w:color w:val="000000"/>
                <w:sz w:val="24"/>
                <w:lang w:eastAsia="en-NZ"/>
              </w:rPr>
              <w:t>m</w:t>
            </w:r>
          </w:p>
        </w:tc>
      </w:tr>
      <w:tr w:rsidR="007F31A3" w:rsidRPr="00DF1D96" w:rsidTr="001F434B">
        <w:trPr>
          <w:trHeight w:val="293"/>
        </w:trPr>
        <w:tc>
          <w:tcPr>
            <w:tcW w:w="3014" w:type="pct"/>
            <w:noWrap/>
            <w:hideMark/>
          </w:tcPr>
          <w:p w:rsidR="007F31A3" w:rsidRPr="00BB2BE6" w:rsidRDefault="007F31A3" w:rsidP="00320CC4">
            <w:pPr>
              <w:widowControl w:val="0"/>
              <w:spacing w:line="240" w:lineRule="auto"/>
              <w:jc w:val="both"/>
              <w:rPr>
                <w:rFonts w:ascii="Verdana" w:hAnsi="Verdana"/>
                <w:b/>
                <w:bCs/>
                <w:color w:val="000000"/>
                <w:sz w:val="24"/>
                <w:lang w:eastAsia="en-NZ"/>
              </w:rPr>
            </w:pPr>
            <w:r w:rsidRPr="00BB2BE6">
              <w:rPr>
                <w:rFonts w:ascii="Verdana" w:hAnsi="Verdana"/>
                <w:b/>
                <w:bCs/>
                <w:color w:val="000000"/>
                <w:sz w:val="24"/>
                <w:lang w:eastAsia="en-NZ"/>
              </w:rPr>
              <w:t xml:space="preserve">Total funding available </w:t>
            </w:r>
          </w:p>
        </w:tc>
        <w:tc>
          <w:tcPr>
            <w:tcW w:w="1004" w:type="pct"/>
          </w:tcPr>
          <w:p w:rsidR="007F31A3" w:rsidRPr="00BB2BE6" w:rsidRDefault="00BB2BE6" w:rsidP="00320CC4">
            <w:pPr>
              <w:widowControl w:val="0"/>
              <w:spacing w:line="240" w:lineRule="auto"/>
              <w:jc w:val="both"/>
              <w:rPr>
                <w:rFonts w:ascii="Verdana" w:hAnsi="Verdana"/>
                <w:b/>
                <w:color w:val="000000"/>
                <w:sz w:val="24"/>
                <w:lang w:eastAsia="en-NZ"/>
              </w:rPr>
            </w:pPr>
            <w:r w:rsidRPr="00BB2BE6">
              <w:rPr>
                <w:rFonts w:ascii="Verdana" w:hAnsi="Verdana"/>
                <w:b/>
                <w:color w:val="000000"/>
                <w:sz w:val="24"/>
                <w:lang w:eastAsia="en-NZ"/>
              </w:rPr>
              <w:t>$</w:t>
            </w:r>
            <w:r w:rsidR="007F31A3" w:rsidRPr="00BB2BE6">
              <w:rPr>
                <w:rFonts w:ascii="Verdana" w:hAnsi="Verdana"/>
                <w:b/>
                <w:color w:val="000000"/>
                <w:sz w:val="24"/>
                <w:lang w:eastAsia="en-NZ"/>
              </w:rPr>
              <w:t>83.08</w:t>
            </w:r>
            <w:r w:rsidRPr="00BB2BE6">
              <w:rPr>
                <w:rFonts w:ascii="Verdana" w:hAnsi="Verdana"/>
                <w:b/>
                <w:color w:val="000000"/>
                <w:sz w:val="24"/>
                <w:lang w:eastAsia="en-NZ"/>
              </w:rPr>
              <w:t>m</w:t>
            </w:r>
          </w:p>
        </w:tc>
        <w:tc>
          <w:tcPr>
            <w:tcW w:w="982" w:type="pct"/>
            <w:noWrap/>
            <w:hideMark/>
          </w:tcPr>
          <w:p w:rsidR="007F31A3" w:rsidRPr="00BB2BE6" w:rsidRDefault="00BB2BE6" w:rsidP="00320CC4">
            <w:pPr>
              <w:widowControl w:val="0"/>
              <w:spacing w:line="240" w:lineRule="auto"/>
              <w:jc w:val="both"/>
              <w:rPr>
                <w:rFonts w:ascii="Verdana" w:hAnsi="Verdana"/>
                <w:b/>
                <w:color w:val="000000"/>
                <w:sz w:val="24"/>
                <w:lang w:eastAsia="en-NZ"/>
              </w:rPr>
            </w:pPr>
            <w:r w:rsidRPr="00BB2BE6">
              <w:rPr>
                <w:rFonts w:ascii="Verdana" w:hAnsi="Verdana"/>
                <w:b/>
                <w:color w:val="000000"/>
                <w:sz w:val="24"/>
                <w:lang w:eastAsia="en-NZ"/>
              </w:rPr>
              <w:t>$</w:t>
            </w:r>
            <w:r w:rsidR="007F31A3" w:rsidRPr="00BB2BE6">
              <w:rPr>
                <w:rFonts w:ascii="Verdana" w:hAnsi="Verdana"/>
                <w:b/>
                <w:color w:val="000000"/>
                <w:sz w:val="24"/>
                <w:lang w:eastAsia="en-NZ"/>
              </w:rPr>
              <w:t>81.46</w:t>
            </w:r>
            <w:r w:rsidRPr="00BB2BE6">
              <w:rPr>
                <w:rFonts w:ascii="Verdana" w:hAnsi="Verdana"/>
                <w:b/>
                <w:color w:val="000000"/>
                <w:sz w:val="24"/>
                <w:lang w:eastAsia="en-NZ"/>
              </w:rPr>
              <w:t>m</w:t>
            </w:r>
          </w:p>
        </w:tc>
      </w:tr>
      <w:tr w:rsidR="007F31A3" w:rsidRPr="00DF1D96" w:rsidTr="001F434B">
        <w:trPr>
          <w:trHeight w:val="293"/>
        </w:trPr>
        <w:tc>
          <w:tcPr>
            <w:tcW w:w="3014" w:type="pct"/>
            <w:noWrap/>
          </w:tcPr>
          <w:p w:rsidR="007F31A3" w:rsidRPr="00BB2BE6" w:rsidRDefault="007F31A3" w:rsidP="00320CC4">
            <w:pPr>
              <w:widowControl w:val="0"/>
              <w:spacing w:line="240" w:lineRule="auto"/>
              <w:jc w:val="both"/>
              <w:rPr>
                <w:rFonts w:ascii="Verdana" w:hAnsi="Verdana"/>
                <w:bCs/>
                <w:color w:val="000000"/>
                <w:sz w:val="24"/>
                <w:lang w:eastAsia="en-NZ"/>
              </w:rPr>
            </w:pPr>
            <w:r w:rsidRPr="00BB2BE6">
              <w:rPr>
                <w:rFonts w:ascii="Verdana" w:hAnsi="Verdana"/>
                <w:bCs/>
                <w:color w:val="000000"/>
                <w:sz w:val="24"/>
                <w:lang w:eastAsia="en-NZ"/>
              </w:rPr>
              <w:t xml:space="preserve">Less: amount spent pre-prototype (1 July to 30 September 2018) </w:t>
            </w:r>
          </w:p>
        </w:tc>
        <w:tc>
          <w:tcPr>
            <w:tcW w:w="1004" w:type="pct"/>
          </w:tcPr>
          <w:p w:rsidR="007F31A3" w:rsidRPr="00BB2BE6" w:rsidRDefault="00BB2BE6" w:rsidP="00320CC4">
            <w:pPr>
              <w:widowControl w:val="0"/>
              <w:spacing w:line="240" w:lineRule="auto"/>
              <w:jc w:val="both"/>
              <w:rPr>
                <w:rFonts w:ascii="Verdana" w:hAnsi="Verdana"/>
                <w:color w:val="000000"/>
                <w:sz w:val="24"/>
                <w:lang w:eastAsia="en-NZ"/>
              </w:rPr>
            </w:pPr>
            <w:r w:rsidRPr="00BB2BE6">
              <w:rPr>
                <w:rFonts w:ascii="Verdana" w:hAnsi="Verdana"/>
                <w:color w:val="000000"/>
                <w:sz w:val="24"/>
                <w:lang w:eastAsia="en-NZ"/>
              </w:rPr>
              <w:t>$</w:t>
            </w:r>
            <w:r w:rsidR="007F31A3" w:rsidRPr="00BB2BE6">
              <w:rPr>
                <w:rFonts w:ascii="Verdana" w:hAnsi="Verdana"/>
                <w:color w:val="000000"/>
                <w:sz w:val="24"/>
                <w:lang w:eastAsia="en-NZ"/>
              </w:rPr>
              <w:t>17.43</w:t>
            </w:r>
            <w:r w:rsidRPr="00BB2BE6">
              <w:rPr>
                <w:rFonts w:ascii="Verdana" w:hAnsi="Verdana"/>
                <w:color w:val="000000"/>
                <w:sz w:val="24"/>
                <w:lang w:eastAsia="en-NZ"/>
              </w:rPr>
              <w:t>m</w:t>
            </w:r>
          </w:p>
        </w:tc>
        <w:tc>
          <w:tcPr>
            <w:tcW w:w="982" w:type="pct"/>
            <w:noWrap/>
          </w:tcPr>
          <w:p w:rsidR="007F31A3" w:rsidRPr="00BB2BE6" w:rsidRDefault="007F31A3" w:rsidP="00320CC4">
            <w:pPr>
              <w:widowControl w:val="0"/>
              <w:spacing w:line="240" w:lineRule="auto"/>
              <w:jc w:val="both"/>
              <w:rPr>
                <w:rFonts w:ascii="Verdana" w:hAnsi="Verdana"/>
                <w:b/>
                <w:color w:val="000000"/>
                <w:sz w:val="24"/>
                <w:lang w:eastAsia="en-NZ"/>
              </w:rPr>
            </w:pPr>
          </w:p>
        </w:tc>
      </w:tr>
      <w:tr w:rsidR="007F31A3" w:rsidRPr="00DF1D96" w:rsidTr="001F434B">
        <w:trPr>
          <w:trHeight w:val="293"/>
        </w:trPr>
        <w:tc>
          <w:tcPr>
            <w:tcW w:w="3014" w:type="pct"/>
            <w:noWrap/>
          </w:tcPr>
          <w:p w:rsidR="007F31A3" w:rsidRPr="00BB2BE6" w:rsidRDefault="007F31A3" w:rsidP="00320CC4">
            <w:pPr>
              <w:widowControl w:val="0"/>
              <w:spacing w:line="240" w:lineRule="auto"/>
              <w:jc w:val="both"/>
              <w:rPr>
                <w:rFonts w:ascii="Verdana" w:hAnsi="Verdana"/>
                <w:b/>
                <w:bCs/>
                <w:color w:val="000000"/>
                <w:sz w:val="24"/>
                <w:lang w:eastAsia="en-NZ"/>
              </w:rPr>
            </w:pPr>
            <w:r w:rsidRPr="00BB2BE6">
              <w:rPr>
                <w:rFonts w:ascii="Verdana" w:hAnsi="Verdana"/>
                <w:b/>
                <w:bCs/>
                <w:color w:val="000000"/>
                <w:sz w:val="24"/>
                <w:lang w:eastAsia="en-NZ"/>
              </w:rPr>
              <w:t xml:space="preserve">Funding available to be spent during the prototype period </w:t>
            </w:r>
          </w:p>
        </w:tc>
        <w:tc>
          <w:tcPr>
            <w:tcW w:w="1004" w:type="pct"/>
          </w:tcPr>
          <w:p w:rsidR="007F31A3" w:rsidRPr="00BB2BE6" w:rsidRDefault="00BB2BE6" w:rsidP="00320CC4">
            <w:pPr>
              <w:widowControl w:val="0"/>
              <w:spacing w:line="240" w:lineRule="auto"/>
              <w:jc w:val="both"/>
              <w:rPr>
                <w:rFonts w:ascii="Verdana" w:hAnsi="Verdana"/>
                <w:b/>
                <w:color w:val="000000"/>
                <w:sz w:val="24"/>
                <w:lang w:eastAsia="en-NZ"/>
              </w:rPr>
            </w:pPr>
            <w:r w:rsidRPr="00BB2BE6">
              <w:rPr>
                <w:rFonts w:ascii="Verdana" w:hAnsi="Verdana"/>
                <w:b/>
                <w:color w:val="000000"/>
                <w:sz w:val="24"/>
                <w:lang w:eastAsia="en-NZ"/>
              </w:rPr>
              <w:t>$</w:t>
            </w:r>
            <w:r w:rsidR="007F31A3" w:rsidRPr="00BB2BE6">
              <w:rPr>
                <w:rFonts w:ascii="Verdana" w:hAnsi="Verdana"/>
                <w:b/>
                <w:color w:val="000000"/>
                <w:sz w:val="24"/>
                <w:lang w:eastAsia="en-NZ"/>
              </w:rPr>
              <w:t>65.65</w:t>
            </w:r>
            <w:r w:rsidRPr="00BB2BE6">
              <w:rPr>
                <w:rFonts w:ascii="Verdana" w:hAnsi="Verdana"/>
                <w:b/>
                <w:color w:val="000000"/>
                <w:sz w:val="24"/>
                <w:lang w:eastAsia="en-NZ"/>
              </w:rPr>
              <w:t>m</w:t>
            </w:r>
          </w:p>
        </w:tc>
        <w:tc>
          <w:tcPr>
            <w:tcW w:w="982" w:type="pct"/>
            <w:noWrap/>
          </w:tcPr>
          <w:p w:rsidR="007F31A3" w:rsidRPr="00BB2BE6" w:rsidRDefault="00BB2BE6" w:rsidP="00320CC4">
            <w:pPr>
              <w:widowControl w:val="0"/>
              <w:spacing w:line="240" w:lineRule="auto"/>
              <w:jc w:val="both"/>
              <w:rPr>
                <w:rFonts w:ascii="Verdana" w:hAnsi="Verdana"/>
                <w:b/>
                <w:color w:val="000000"/>
                <w:sz w:val="24"/>
                <w:lang w:eastAsia="en-NZ"/>
              </w:rPr>
            </w:pPr>
            <w:r w:rsidRPr="00BB2BE6">
              <w:rPr>
                <w:rFonts w:ascii="Verdana" w:hAnsi="Verdana"/>
                <w:b/>
                <w:color w:val="000000"/>
                <w:sz w:val="24"/>
                <w:lang w:eastAsia="en-NZ"/>
              </w:rPr>
              <w:t>$</w:t>
            </w:r>
            <w:r w:rsidR="007F31A3" w:rsidRPr="00BB2BE6">
              <w:rPr>
                <w:rFonts w:ascii="Verdana" w:hAnsi="Verdana"/>
                <w:b/>
                <w:color w:val="000000"/>
                <w:sz w:val="24"/>
                <w:lang w:eastAsia="en-NZ"/>
              </w:rPr>
              <w:t>81.46</w:t>
            </w:r>
            <w:r w:rsidRPr="00BB2BE6">
              <w:rPr>
                <w:rFonts w:ascii="Verdana" w:hAnsi="Verdana"/>
                <w:b/>
                <w:color w:val="000000"/>
                <w:sz w:val="24"/>
                <w:lang w:eastAsia="en-NZ"/>
              </w:rPr>
              <w:t>m</w:t>
            </w:r>
            <w:r w:rsidR="007F31A3" w:rsidRPr="00BB2BE6">
              <w:rPr>
                <w:rFonts w:ascii="Verdana" w:hAnsi="Verdana"/>
                <w:b/>
                <w:color w:val="000000"/>
                <w:sz w:val="24"/>
                <w:lang w:eastAsia="en-NZ"/>
              </w:rPr>
              <w:t xml:space="preserve"> </w:t>
            </w:r>
          </w:p>
        </w:tc>
      </w:tr>
    </w:tbl>
    <w:p w:rsidR="00027302" w:rsidRDefault="00027302" w:rsidP="00320CC4">
      <w:pPr>
        <w:pStyle w:val="CRPD-Questionstyle"/>
        <w:widowControl w:val="0"/>
        <w:spacing w:line="240" w:lineRule="auto"/>
        <w:rPr>
          <w:lang w:val="en-NZ"/>
        </w:rPr>
      </w:pP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Measures taken to consult with representative organizations of persons with disabilities, including organizations of persons with psychosocial and/or intellectual disabilities, about the impacts of the deinstitutionalization strategy on ensuring their inclusion in the community;</w:t>
      </w:r>
    </w:p>
    <w:p w:rsidR="008D1A8E" w:rsidRDefault="008D1A8E" w:rsidP="00320CC4">
      <w:pPr>
        <w:pStyle w:val="CRPD-subsectionheading"/>
        <w:spacing w:line="240" w:lineRule="auto"/>
      </w:pPr>
      <w:r>
        <w:t>Twelve institutions for people with intellectual or psychiatric disabilities have closed since 1987. The last of the large care institutions (Kimberley) closed in 2006. Approximately 4,000 people with intellectual disabilities were resettled to community-based services. Some Kimberley residents chose to relocate to existing services. However, the majority of residents moved into alternative community living arrangements, and some into new locations chosen by the individual and their families through housing projects supported by Housing NZ</w:t>
      </w:r>
      <w:r w:rsidR="00CD6819">
        <w:t xml:space="preserve"> Corporation</w:t>
      </w:r>
      <w:r>
        <w:t xml:space="preserve">. Many of the residents </w:t>
      </w:r>
      <w:r w:rsidR="00CD6819">
        <w:t xml:space="preserve">who </w:t>
      </w:r>
      <w:r>
        <w:t xml:space="preserve">resettled into the community continue to receive </w:t>
      </w:r>
      <w:r w:rsidR="00CD6819">
        <w:t>D</w:t>
      </w:r>
      <w:r>
        <w:t xml:space="preserve">isability </w:t>
      </w:r>
      <w:r w:rsidR="00CD6819">
        <w:t>Support Services</w:t>
      </w:r>
      <w:r>
        <w:t xml:space="preserve"> from the Ministry of Health.</w:t>
      </w:r>
    </w:p>
    <w:p w:rsidR="00064B7F" w:rsidRPr="008D1A8E" w:rsidRDefault="00BB2BE6" w:rsidP="00320CC4">
      <w:pPr>
        <w:pStyle w:val="CRPD-subsectionheading"/>
        <w:spacing w:line="240" w:lineRule="auto"/>
      </w:pPr>
      <w:r>
        <w:lastRenderedPageBreak/>
        <w:t>In 2008, the Donald Beasley I</w:t>
      </w:r>
      <w:r w:rsidR="008D1A8E">
        <w:t>nstitute</w:t>
      </w:r>
      <w:r>
        <w:rPr>
          <w:rStyle w:val="FootnoteReference"/>
        </w:rPr>
        <w:footnoteReference w:id="159"/>
      </w:r>
      <w:r w:rsidR="008D1A8E">
        <w:t xml:space="preserve"> conducted an examination of the outcome of the resettlement of residents from the Kimberle</w:t>
      </w:r>
      <w:r w:rsidR="00CD6819">
        <w:t>y Centre.  The study found that</w:t>
      </w:r>
      <w:r w:rsidR="008D1A8E">
        <w:t xml:space="preserve"> 'investigations into the effects of deinstitutionalisation on people with an intellectual disability have largely shown improvements in adaptive behaviour, material standards, personal development, participation in activities of daily living, family contact and involvement in activities in the community</w:t>
      </w:r>
      <w:r w:rsidR="00886F9A">
        <w:t>’</w:t>
      </w:r>
      <w:r w:rsidR="008D1A8E">
        <w:rPr>
          <w:rStyle w:val="FootnoteReference"/>
        </w:rPr>
        <w:footnoteReference w:id="160"/>
      </w:r>
      <w:r w:rsidR="008D1A8E">
        <w:t>.</w:t>
      </w:r>
    </w:p>
    <w:p w:rsidR="00064B7F" w:rsidRDefault="00064B7F" w:rsidP="00320CC4">
      <w:pPr>
        <w:pStyle w:val="CRPD-Questionstyle"/>
        <w:widowControl w:val="0"/>
        <w:spacing w:line="240" w:lineRule="auto"/>
        <w:rPr>
          <w:lang w:val="en-NZ"/>
        </w:rPr>
      </w:pPr>
      <w:r w:rsidRPr="00237D85">
        <w:rPr>
          <w:lang w:val="en-NZ"/>
        </w:rPr>
        <w:tab/>
      </w:r>
      <w:r w:rsidRPr="00B12F46">
        <w:rPr>
          <w:lang w:val="en-NZ"/>
        </w:rPr>
        <w:t>(c)</w:t>
      </w:r>
      <w:r w:rsidRPr="00B12F46">
        <w:rPr>
          <w:lang w:val="en-NZ"/>
        </w:rPr>
        <w:tab/>
        <w:t>Measures taken to support and resources invested in living independently and being included in the community, including through personal assistants, peers and coaching, according to age, sex, and ethnic background;</w:t>
      </w:r>
    </w:p>
    <w:p w:rsidR="00064B7F" w:rsidRPr="00CD6819" w:rsidRDefault="002B18D4" w:rsidP="00320CC4">
      <w:pPr>
        <w:pStyle w:val="CRPD-subsectionheading"/>
        <w:spacing w:line="240" w:lineRule="auto"/>
      </w:pPr>
      <w:r w:rsidRPr="00942A6F">
        <w:t>The Government funds</w:t>
      </w:r>
      <w:r>
        <w:rPr>
          <w:b/>
        </w:rPr>
        <w:t xml:space="preserve"> </w:t>
      </w:r>
      <w:r w:rsidR="00064B7F" w:rsidRPr="0050110F">
        <w:t>Home and Community Support Services</w:t>
      </w:r>
      <w:r w:rsidR="00064B7F" w:rsidRPr="00237D85">
        <w:t xml:space="preserve"> and </w:t>
      </w:r>
      <w:r w:rsidR="00064B7F" w:rsidRPr="008B6558">
        <w:t>Supported Living Services</w:t>
      </w:r>
      <w:r w:rsidR="008A01BA" w:rsidRPr="00237D85">
        <w:t xml:space="preserve"> </w:t>
      </w:r>
      <w:r w:rsidR="0051724E" w:rsidRPr="00CD6819">
        <w:t>to help</w:t>
      </w:r>
      <w:r w:rsidR="008A01BA" w:rsidRPr="00CD6819">
        <w:t xml:space="preserve"> disabled people live independently and be included in the community</w:t>
      </w:r>
      <w:r w:rsidR="00064B7F" w:rsidRPr="00CD6819">
        <w:t>.</w:t>
      </w:r>
      <w:r w:rsidR="00416B11" w:rsidRPr="00CD6819">
        <w:t xml:space="preserve"> </w:t>
      </w:r>
    </w:p>
    <w:p w:rsidR="002454B7" w:rsidRPr="00CD6819" w:rsidRDefault="002454B7" w:rsidP="00320CC4">
      <w:pPr>
        <w:pStyle w:val="CRPD-subsectionheading"/>
        <w:spacing w:line="240" w:lineRule="auto"/>
      </w:pPr>
      <w:r w:rsidRPr="00CD6819">
        <w:t>The Government is t</w:t>
      </w:r>
      <w:r w:rsidR="00BB525A" w:rsidRPr="00CD6819">
        <w:t>rialling a new approach called '</w:t>
      </w:r>
      <w:r w:rsidRPr="00CD6819">
        <w:t>Choice in Community Living’</w:t>
      </w:r>
      <w:r w:rsidR="00CD6819">
        <w:rPr>
          <w:rStyle w:val="FootnoteReference"/>
        </w:rPr>
        <w:footnoteReference w:id="161"/>
      </w:r>
      <w:r w:rsidRPr="00CD6819">
        <w:rPr>
          <w:rStyle w:val="ilfuvd"/>
          <w:lang w:val="en-AU"/>
        </w:rPr>
        <w:t xml:space="preserve"> as an alternative to residential services for people with significant disabilities. </w:t>
      </w:r>
      <w:r w:rsidRPr="00CD6819">
        <w:t>This enables people to make choices about their funding and the way they are supported, living in a home of their own.</w:t>
      </w:r>
    </w:p>
    <w:p w:rsidR="00064B7F" w:rsidRDefault="002454B7" w:rsidP="00320CC4">
      <w:pPr>
        <w:pStyle w:val="CRPD-subsectionheading"/>
        <w:spacing w:line="240" w:lineRule="auto"/>
      </w:pPr>
      <w:r w:rsidRPr="00CD6819">
        <w:t xml:space="preserve">The new service was trialled in </w:t>
      </w:r>
      <w:r w:rsidR="001B25BD">
        <w:t>two</w:t>
      </w:r>
      <w:r w:rsidRPr="00CD6819">
        <w:t xml:space="preserve"> regions</w:t>
      </w:r>
      <w:r w:rsidR="001B25BD">
        <w:rPr>
          <w:rStyle w:val="FootnoteReference"/>
        </w:rPr>
        <w:footnoteReference w:id="162"/>
      </w:r>
      <w:r w:rsidRPr="00CD6819">
        <w:t xml:space="preserve"> and extended into </w:t>
      </w:r>
      <w:r w:rsidR="00CD6819">
        <w:t>three</w:t>
      </w:r>
      <w:r w:rsidRPr="00CD6819">
        <w:t xml:space="preserve"> other regions</w:t>
      </w:r>
      <w:r w:rsidR="00CD6819">
        <w:rPr>
          <w:rStyle w:val="FootnoteReference"/>
        </w:rPr>
        <w:footnoteReference w:id="163"/>
      </w:r>
      <w:r w:rsidRPr="00CD6819">
        <w:t>. There were 175 people using the new service as at</w:t>
      </w:r>
      <w:r w:rsidR="00CD6819">
        <w:t xml:space="preserve"> 26 March 2018. Currently no further rollout</w:t>
      </w:r>
      <w:r w:rsidRPr="00CD6819">
        <w:t xml:space="preserve"> is planned a</w:t>
      </w:r>
      <w:r w:rsidR="00CB576C" w:rsidRPr="00CD6819">
        <w:t>s we wait to see the i</w:t>
      </w:r>
      <w:r w:rsidR="00CB576C">
        <w:t xml:space="preserve">mpact of the </w:t>
      </w:r>
      <w:r w:rsidR="00CD6819">
        <w:t xml:space="preserve">disability support </w:t>
      </w:r>
      <w:r w:rsidR="00CB576C">
        <w:t>system t</w:t>
      </w:r>
      <w:r w:rsidR="0013786C">
        <w:t>ransformation prototype.</w:t>
      </w:r>
      <w:r w:rsidR="0051724E" w:rsidRPr="002454B7">
        <w:t xml:space="preserve"> </w:t>
      </w:r>
    </w:p>
    <w:p w:rsidR="00422E20" w:rsidRDefault="00422E20" w:rsidP="00320CC4">
      <w:pPr>
        <w:pStyle w:val="CRPD-Questionstyle"/>
        <w:keepNext/>
        <w:keepLines/>
        <w:spacing w:line="240" w:lineRule="auto"/>
      </w:pPr>
      <w:r w:rsidRPr="00CD6819">
        <w:t>Table: Funding allocated to services.</w:t>
      </w:r>
    </w:p>
    <w:p w:rsidR="006C38F5" w:rsidRDefault="006C38F5" w:rsidP="00320CC4">
      <w:pPr>
        <w:pStyle w:val="CRPD-Questionstyle"/>
        <w:keepNext/>
        <w:keepLines/>
        <w:spacing w:line="240" w:lineRule="auto"/>
      </w:pPr>
    </w:p>
    <w:tbl>
      <w:tblPr>
        <w:tblStyle w:val="TableGridLight1"/>
        <w:tblpPr w:leftFromText="180" w:rightFromText="180" w:vertAnchor="text" w:horzAnchor="margin" w:tblpXSpec="center" w:tblpY="-31"/>
        <w:tblW w:w="4332" w:type="pct"/>
        <w:tblLayout w:type="fixed"/>
        <w:tblLook w:val="04A0" w:firstRow="1" w:lastRow="0" w:firstColumn="1" w:lastColumn="0" w:noHBand="0" w:noVBand="1"/>
      </w:tblPr>
      <w:tblGrid>
        <w:gridCol w:w="2728"/>
        <w:gridCol w:w="1452"/>
        <w:gridCol w:w="1454"/>
        <w:gridCol w:w="1451"/>
        <w:gridCol w:w="1453"/>
      </w:tblGrid>
      <w:tr w:rsidR="0042777A" w:rsidRPr="00DF1D96" w:rsidTr="0042777A">
        <w:trPr>
          <w:trHeight w:val="528"/>
        </w:trPr>
        <w:tc>
          <w:tcPr>
            <w:tcW w:w="1597" w:type="pct"/>
            <w:shd w:val="clear" w:color="auto" w:fill="auto"/>
          </w:tcPr>
          <w:p w:rsidR="00BB2BE6" w:rsidRPr="00DF1D96" w:rsidRDefault="00BB2BE6" w:rsidP="00320CC4">
            <w:pPr>
              <w:keepNext/>
              <w:keepLines/>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Year ending June</w:t>
            </w:r>
          </w:p>
        </w:tc>
        <w:tc>
          <w:tcPr>
            <w:tcW w:w="850" w:type="pct"/>
            <w:shd w:val="clear" w:color="auto" w:fill="auto"/>
          </w:tcPr>
          <w:p w:rsidR="00BB2BE6" w:rsidRPr="00DF1D96" w:rsidRDefault="00BB2BE6" w:rsidP="00320CC4">
            <w:pPr>
              <w:keepNext/>
              <w:keepLines/>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2016</w:t>
            </w:r>
          </w:p>
        </w:tc>
        <w:tc>
          <w:tcPr>
            <w:tcW w:w="851" w:type="pct"/>
            <w:shd w:val="clear" w:color="auto" w:fill="auto"/>
          </w:tcPr>
          <w:p w:rsidR="00BB2BE6" w:rsidRPr="00DF1D96" w:rsidRDefault="00BB2BE6" w:rsidP="00320CC4">
            <w:pPr>
              <w:keepNext/>
              <w:keepLines/>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2017</w:t>
            </w:r>
          </w:p>
        </w:tc>
        <w:tc>
          <w:tcPr>
            <w:tcW w:w="850" w:type="pct"/>
            <w:shd w:val="clear" w:color="auto" w:fill="auto"/>
          </w:tcPr>
          <w:p w:rsidR="00BB2BE6" w:rsidRPr="00DF1D96" w:rsidRDefault="00BB2BE6" w:rsidP="00320CC4">
            <w:pPr>
              <w:keepNext/>
              <w:keepLines/>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2018</w:t>
            </w:r>
          </w:p>
        </w:tc>
        <w:tc>
          <w:tcPr>
            <w:tcW w:w="851" w:type="pct"/>
            <w:shd w:val="clear" w:color="auto" w:fill="auto"/>
          </w:tcPr>
          <w:p w:rsidR="00BB2BE6" w:rsidRPr="00DF1D96" w:rsidRDefault="00BB2BE6" w:rsidP="00320CC4">
            <w:pPr>
              <w:keepNext/>
              <w:keepLines/>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2019</w:t>
            </w:r>
          </w:p>
        </w:tc>
      </w:tr>
      <w:tr w:rsidR="0042777A" w:rsidRPr="00DF1D96" w:rsidTr="0042777A">
        <w:trPr>
          <w:trHeight w:val="460"/>
        </w:trPr>
        <w:tc>
          <w:tcPr>
            <w:tcW w:w="1597" w:type="pct"/>
            <w:shd w:val="clear" w:color="auto" w:fill="auto"/>
          </w:tcPr>
          <w:p w:rsidR="00BB2BE6" w:rsidRPr="00DF1D96" w:rsidRDefault="00BB2BE6" w:rsidP="00320CC4">
            <w:pPr>
              <w:keepNext/>
              <w:keepLines/>
              <w:widowControl w:val="0"/>
              <w:suppressAutoHyphens w:val="0"/>
              <w:spacing w:line="240" w:lineRule="auto"/>
              <w:jc w:val="both"/>
              <w:rPr>
                <w:rFonts w:ascii="Verdana" w:hAnsi="Verdana" w:cstheme="minorBidi"/>
                <w:sz w:val="24"/>
              </w:rPr>
            </w:pPr>
            <w:r w:rsidRPr="00DF1D96">
              <w:rPr>
                <w:rFonts w:ascii="Verdana" w:hAnsi="Verdana" w:cstheme="minorBidi"/>
                <w:sz w:val="24"/>
              </w:rPr>
              <w:t xml:space="preserve">Home and Community Support Services – </w:t>
            </w:r>
          </w:p>
          <w:p w:rsidR="00BB2BE6" w:rsidRPr="00DF1D96" w:rsidRDefault="00BB2BE6" w:rsidP="00320CC4">
            <w:pPr>
              <w:keepNext/>
              <w:keepLines/>
              <w:widowControl w:val="0"/>
              <w:suppressAutoHyphens w:val="0"/>
              <w:spacing w:line="240" w:lineRule="auto"/>
              <w:jc w:val="both"/>
              <w:rPr>
                <w:rFonts w:ascii="Verdana" w:hAnsi="Verdana" w:cstheme="minorBidi"/>
                <w:sz w:val="24"/>
              </w:rPr>
            </w:pPr>
            <w:r w:rsidRPr="00DF1D96">
              <w:rPr>
                <w:rFonts w:ascii="Verdana" w:hAnsi="Verdana" w:cstheme="minorBidi"/>
                <w:sz w:val="24"/>
              </w:rPr>
              <w:t xml:space="preserve">Household management </w:t>
            </w:r>
          </w:p>
        </w:tc>
        <w:tc>
          <w:tcPr>
            <w:tcW w:w="850" w:type="pct"/>
            <w:shd w:val="clear" w:color="auto" w:fill="auto"/>
          </w:tcPr>
          <w:p w:rsidR="00BB2BE6" w:rsidRPr="00DF1D96" w:rsidRDefault="00BB2BE6" w:rsidP="00320CC4">
            <w:pPr>
              <w:keepNext/>
              <w:keepLines/>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50.9</w:t>
            </w:r>
            <w:r>
              <w:rPr>
                <w:rFonts w:ascii="Verdana" w:hAnsi="Verdana" w:cstheme="minorBidi"/>
                <w:sz w:val="24"/>
              </w:rPr>
              <w:t>m</w:t>
            </w:r>
          </w:p>
        </w:tc>
        <w:tc>
          <w:tcPr>
            <w:tcW w:w="851" w:type="pct"/>
            <w:shd w:val="clear" w:color="auto" w:fill="auto"/>
          </w:tcPr>
          <w:p w:rsidR="00BB2BE6" w:rsidRPr="00DF1D96" w:rsidRDefault="00BB2BE6" w:rsidP="00320CC4">
            <w:pPr>
              <w:keepNext/>
              <w:keepLines/>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48.8</w:t>
            </w:r>
            <w:r>
              <w:rPr>
                <w:rFonts w:ascii="Verdana" w:hAnsi="Verdana" w:cstheme="minorBidi"/>
                <w:sz w:val="24"/>
              </w:rPr>
              <w:t>m</w:t>
            </w:r>
          </w:p>
        </w:tc>
        <w:tc>
          <w:tcPr>
            <w:tcW w:w="850" w:type="pct"/>
            <w:shd w:val="clear" w:color="auto" w:fill="auto"/>
          </w:tcPr>
          <w:p w:rsidR="00BB2BE6" w:rsidRPr="00DF1D96" w:rsidRDefault="00BB2BE6" w:rsidP="00320CC4">
            <w:pPr>
              <w:keepNext/>
              <w:keepLines/>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45.3</w:t>
            </w:r>
            <w:r>
              <w:rPr>
                <w:rFonts w:ascii="Verdana" w:hAnsi="Verdana" w:cstheme="minorBidi"/>
                <w:sz w:val="24"/>
              </w:rPr>
              <w:t>m</w:t>
            </w:r>
          </w:p>
        </w:tc>
        <w:tc>
          <w:tcPr>
            <w:tcW w:w="851" w:type="pct"/>
            <w:shd w:val="clear" w:color="auto" w:fill="auto"/>
          </w:tcPr>
          <w:p w:rsidR="00BB2BE6" w:rsidRPr="00DF1D96" w:rsidRDefault="00BB2BE6" w:rsidP="00320CC4">
            <w:pPr>
              <w:keepNext/>
              <w:keepLines/>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44.4</w:t>
            </w:r>
            <w:r>
              <w:rPr>
                <w:rFonts w:ascii="Verdana" w:hAnsi="Verdana" w:cstheme="minorBidi"/>
                <w:sz w:val="24"/>
              </w:rPr>
              <w:t>m</w:t>
            </w:r>
          </w:p>
        </w:tc>
      </w:tr>
      <w:tr w:rsidR="0042777A" w:rsidRPr="00DF1D96" w:rsidTr="0042777A">
        <w:trPr>
          <w:trHeight w:val="451"/>
        </w:trPr>
        <w:tc>
          <w:tcPr>
            <w:tcW w:w="1597"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lastRenderedPageBreak/>
              <w:t xml:space="preserve">Home and Community Support Services – </w:t>
            </w:r>
          </w:p>
          <w:p w:rsidR="00BB2BE6" w:rsidRPr="00DF1D96" w:rsidRDefault="00BB2BE6"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 xml:space="preserve">Personal care </w:t>
            </w:r>
          </w:p>
        </w:tc>
        <w:tc>
          <w:tcPr>
            <w:tcW w:w="850"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99.6</w:t>
            </w:r>
            <w:r>
              <w:rPr>
                <w:rFonts w:ascii="Verdana" w:hAnsi="Verdana" w:cstheme="minorBidi"/>
                <w:sz w:val="24"/>
              </w:rPr>
              <w:t>m</w:t>
            </w:r>
          </w:p>
        </w:tc>
        <w:tc>
          <w:tcPr>
            <w:tcW w:w="851"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106.4</w:t>
            </w:r>
            <w:r>
              <w:rPr>
                <w:rFonts w:ascii="Verdana" w:hAnsi="Verdana" w:cstheme="minorBidi"/>
                <w:sz w:val="24"/>
              </w:rPr>
              <w:t>m</w:t>
            </w:r>
          </w:p>
        </w:tc>
        <w:tc>
          <w:tcPr>
            <w:tcW w:w="850"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106.1</w:t>
            </w:r>
            <w:r>
              <w:rPr>
                <w:rFonts w:ascii="Verdana" w:hAnsi="Verdana" w:cstheme="minorBidi"/>
                <w:sz w:val="24"/>
              </w:rPr>
              <w:t>m</w:t>
            </w:r>
          </w:p>
        </w:tc>
        <w:tc>
          <w:tcPr>
            <w:tcW w:w="851"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112.5</w:t>
            </w:r>
            <w:r>
              <w:rPr>
                <w:rFonts w:ascii="Verdana" w:hAnsi="Verdana" w:cstheme="minorBidi"/>
                <w:sz w:val="24"/>
              </w:rPr>
              <w:t>m</w:t>
            </w:r>
          </w:p>
        </w:tc>
      </w:tr>
      <w:tr w:rsidR="0042777A" w:rsidRPr="00DF1D96" w:rsidTr="0042777A">
        <w:trPr>
          <w:trHeight w:val="231"/>
        </w:trPr>
        <w:tc>
          <w:tcPr>
            <w:tcW w:w="1597"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 xml:space="preserve">Supported living </w:t>
            </w:r>
          </w:p>
        </w:tc>
        <w:tc>
          <w:tcPr>
            <w:tcW w:w="850"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51.6</w:t>
            </w:r>
            <w:r>
              <w:rPr>
                <w:rFonts w:ascii="Verdana" w:hAnsi="Verdana" w:cstheme="minorBidi"/>
                <w:sz w:val="24"/>
              </w:rPr>
              <w:t>m</w:t>
            </w:r>
          </w:p>
        </w:tc>
        <w:tc>
          <w:tcPr>
            <w:tcW w:w="851"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52.3</w:t>
            </w:r>
            <w:r>
              <w:rPr>
                <w:rFonts w:ascii="Verdana" w:hAnsi="Verdana" w:cstheme="minorBidi"/>
                <w:sz w:val="24"/>
              </w:rPr>
              <w:t>m</w:t>
            </w:r>
          </w:p>
        </w:tc>
        <w:tc>
          <w:tcPr>
            <w:tcW w:w="850"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55.4</w:t>
            </w:r>
            <w:r>
              <w:rPr>
                <w:rFonts w:ascii="Verdana" w:hAnsi="Verdana" w:cstheme="minorBidi"/>
                <w:sz w:val="24"/>
              </w:rPr>
              <w:t>m</w:t>
            </w:r>
          </w:p>
        </w:tc>
        <w:tc>
          <w:tcPr>
            <w:tcW w:w="851"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64.5</w:t>
            </w:r>
            <w:r>
              <w:rPr>
                <w:rFonts w:ascii="Verdana" w:hAnsi="Verdana" w:cstheme="minorBidi"/>
                <w:sz w:val="24"/>
              </w:rPr>
              <w:t>m</w:t>
            </w:r>
          </w:p>
        </w:tc>
      </w:tr>
      <w:tr w:rsidR="0042777A" w:rsidRPr="00DF1D96" w:rsidTr="0042777A">
        <w:trPr>
          <w:trHeight w:val="231"/>
        </w:trPr>
        <w:tc>
          <w:tcPr>
            <w:tcW w:w="1597" w:type="pct"/>
            <w:shd w:val="clear" w:color="auto" w:fill="auto"/>
          </w:tcPr>
          <w:p w:rsidR="00BB2BE6" w:rsidRPr="00DF1D96" w:rsidRDefault="00BB2BE6" w:rsidP="00320CC4">
            <w:pPr>
              <w:widowControl w:val="0"/>
              <w:suppressAutoHyphens w:val="0"/>
              <w:spacing w:line="240" w:lineRule="auto"/>
              <w:jc w:val="both"/>
              <w:rPr>
                <w:b/>
                <w:sz w:val="24"/>
              </w:rPr>
            </w:pPr>
            <w:r w:rsidRPr="00DF1D96">
              <w:rPr>
                <w:rFonts w:ascii="Verdana" w:hAnsi="Verdana" w:cstheme="minorBidi"/>
                <w:b/>
                <w:sz w:val="24"/>
              </w:rPr>
              <w:t xml:space="preserve">Total </w:t>
            </w:r>
          </w:p>
        </w:tc>
        <w:tc>
          <w:tcPr>
            <w:tcW w:w="850"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202.1</w:t>
            </w:r>
            <w:r>
              <w:rPr>
                <w:rFonts w:ascii="Verdana" w:hAnsi="Verdana" w:cstheme="minorBidi"/>
                <w:sz w:val="24"/>
              </w:rPr>
              <w:t>m</w:t>
            </w:r>
          </w:p>
        </w:tc>
        <w:tc>
          <w:tcPr>
            <w:tcW w:w="851"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207.5</w:t>
            </w:r>
            <w:r>
              <w:rPr>
                <w:rFonts w:ascii="Verdana" w:hAnsi="Verdana" w:cstheme="minorBidi"/>
                <w:sz w:val="24"/>
              </w:rPr>
              <w:t>m</w:t>
            </w:r>
          </w:p>
        </w:tc>
        <w:tc>
          <w:tcPr>
            <w:tcW w:w="850"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206.8</w:t>
            </w:r>
            <w:r>
              <w:rPr>
                <w:rFonts w:ascii="Verdana" w:hAnsi="Verdana" w:cstheme="minorBidi"/>
                <w:sz w:val="24"/>
              </w:rPr>
              <w:t>m</w:t>
            </w:r>
          </w:p>
        </w:tc>
        <w:tc>
          <w:tcPr>
            <w:tcW w:w="851" w:type="pct"/>
            <w:shd w:val="clear" w:color="auto" w:fill="auto"/>
          </w:tcPr>
          <w:p w:rsidR="00BB2BE6" w:rsidRPr="00DF1D96" w:rsidRDefault="00BB2BE6" w:rsidP="00320CC4">
            <w:pPr>
              <w:widowControl w:val="0"/>
              <w:suppressAutoHyphens w:val="0"/>
              <w:spacing w:line="240" w:lineRule="auto"/>
              <w:jc w:val="both"/>
              <w:rPr>
                <w:rFonts w:ascii="Verdana" w:hAnsi="Verdana" w:cstheme="minorBidi"/>
                <w:sz w:val="24"/>
              </w:rPr>
            </w:pPr>
            <w:r>
              <w:rPr>
                <w:rFonts w:ascii="Verdana" w:hAnsi="Verdana" w:cstheme="minorBidi"/>
                <w:sz w:val="24"/>
              </w:rPr>
              <w:t>$</w:t>
            </w:r>
            <w:r w:rsidRPr="00DF1D96">
              <w:rPr>
                <w:rFonts w:ascii="Verdana" w:hAnsi="Verdana" w:cstheme="minorBidi"/>
                <w:sz w:val="24"/>
              </w:rPr>
              <w:t>221.4</w:t>
            </w:r>
            <w:r>
              <w:rPr>
                <w:rFonts w:ascii="Verdana" w:hAnsi="Verdana" w:cstheme="minorBidi"/>
                <w:sz w:val="24"/>
              </w:rPr>
              <w:t>m</w:t>
            </w:r>
          </w:p>
        </w:tc>
      </w:tr>
    </w:tbl>
    <w:p w:rsidR="00064B7F" w:rsidRPr="00237D85" w:rsidRDefault="00064B7F" w:rsidP="00320CC4">
      <w:pPr>
        <w:pStyle w:val="CRPD-Questionstyle"/>
        <w:widowControl w:val="0"/>
        <w:spacing w:line="240" w:lineRule="auto"/>
        <w:rPr>
          <w:lang w:val="en-NZ"/>
        </w:rPr>
      </w:pPr>
      <w:r w:rsidRPr="00237D85">
        <w:rPr>
          <w:lang w:val="en-NZ"/>
        </w:rPr>
        <w:tab/>
        <w:t>(d)</w:t>
      </w:r>
      <w:r w:rsidRPr="00237D85">
        <w:rPr>
          <w:lang w:val="en-NZ"/>
        </w:rPr>
        <w:tab/>
        <w:t>Strategies and resources allocated to ensure accessible housing for persons with disabilities that are affordable for all persons with disabilities, in all housing sectors, and legal requirements and duties of accessibility for private constructors in the development of housing projects;</w:t>
      </w:r>
    </w:p>
    <w:p w:rsidR="00F04360" w:rsidRDefault="00F04360" w:rsidP="00320CC4">
      <w:pPr>
        <w:pStyle w:val="CRPD-subsectionheading"/>
        <w:spacing w:line="240" w:lineRule="auto"/>
      </w:pPr>
      <w:r>
        <w:t>We do not have any Government</w:t>
      </w:r>
      <w:r w:rsidRPr="00942A6F">
        <w:t xml:space="preserve"> strategies to ensure that there are accessible and affordable houses for disabled people.</w:t>
      </w:r>
    </w:p>
    <w:p w:rsidR="008F7047" w:rsidRDefault="008F7047" w:rsidP="00320CC4">
      <w:pPr>
        <w:pStyle w:val="CRPD-subsectionheading"/>
        <w:spacing w:line="240" w:lineRule="auto"/>
      </w:pPr>
      <w:r>
        <w:t xml:space="preserve">There are no legal requirements for private constructors to build accessible housing in housing projects. </w:t>
      </w:r>
    </w:p>
    <w:p w:rsidR="008F7047" w:rsidRPr="00237D85" w:rsidRDefault="008F7047" w:rsidP="00320CC4">
      <w:pPr>
        <w:pStyle w:val="CRPD-subsectionheading"/>
        <w:spacing w:line="240" w:lineRule="auto"/>
      </w:pPr>
      <w:r>
        <w:t>The Government</w:t>
      </w:r>
      <w:r w:rsidRPr="00237D85">
        <w:t xml:space="preserve"> </w:t>
      </w:r>
      <w:r>
        <w:t>can</w:t>
      </w:r>
      <w:r w:rsidRPr="00237D85">
        <w:t xml:space="preserve"> proactively source accessible accommodation when providing short-term accommodation along with tailored social support for people in </w:t>
      </w:r>
      <w:r>
        <w:t xml:space="preserve">immediate </w:t>
      </w:r>
      <w:r w:rsidRPr="00237D85">
        <w:t>need.</w:t>
      </w:r>
    </w:p>
    <w:p w:rsidR="008F7047" w:rsidRPr="00237D85" w:rsidRDefault="008F7047" w:rsidP="00320CC4">
      <w:pPr>
        <w:pStyle w:val="CRPD-subsectionheading"/>
        <w:spacing w:line="240" w:lineRule="auto"/>
      </w:pPr>
      <w:r w:rsidRPr="00237D85">
        <w:t xml:space="preserve">Housing </w:t>
      </w:r>
      <w:r w:rsidR="002D21E1">
        <w:t>NZ</w:t>
      </w:r>
      <w:r w:rsidRPr="00237D85">
        <w:t xml:space="preserve"> Corporation</w:t>
      </w:r>
      <w:r w:rsidRPr="00237D85">
        <w:rPr>
          <w:rStyle w:val="FootnoteReference"/>
        </w:rPr>
        <w:footnoteReference w:id="164"/>
      </w:r>
      <w:r w:rsidRPr="00237D85">
        <w:t xml:space="preserve"> </w:t>
      </w:r>
      <w:r>
        <w:t>provides state housing. They require</w:t>
      </w:r>
      <w:r w:rsidRPr="00237D85">
        <w:t xml:space="preserve"> houses they build to meet basic accessibility standards </w:t>
      </w:r>
      <w:r w:rsidR="00B70EBF">
        <w:t>including</w:t>
      </w:r>
      <w:r w:rsidRPr="00237D85">
        <w:t xml:space="preserve"> wide hallways wherever possible. These houses need to be easily modified for a range of user needs in line with universal design principles. As the Government builds and upgrades more public houses, </w:t>
      </w:r>
      <w:r>
        <w:t>we are considering how</w:t>
      </w:r>
      <w:r w:rsidRPr="00237D85">
        <w:t xml:space="preserve"> to ensure that these provide suitable environments for disabled people. </w:t>
      </w:r>
    </w:p>
    <w:p w:rsidR="0073410C" w:rsidRDefault="00F04360" w:rsidP="00320CC4">
      <w:pPr>
        <w:pStyle w:val="CRPD-subsectionheading"/>
        <w:spacing w:line="240" w:lineRule="auto"/>
      </w:pPr>
      <w:r>
        <w:t>The Government funds housing m</w:t>
      </w:r>
      <w:r w:rsidRPr="00237D85">
        <w:t>odification</w:t>
      </w:r>
      <w:r>
        <w:t>s</w:t>
      </w:r>
      <w:r w:rsidRPr="00237D85">
        <w:t xml:space="preserve"> </w:t>
      </w:r>
      <w:r w:rsidR="001B25BD">
        <w:t>(s</w:t>
      </w:r>
      <w:r w:rsidR="008F7047" w:rsidRPr="008208E6">
        <w:t>ee question 26(a)</w:t>
      </w:r>
      <w:r w:rsidR="008208E6" w:rsidRPr="008208E6">
        <w:t>(iv)</w:t>
      </w:r>
      <w:r w:rsidR="001B25BD">
        <w:t>).</w:t>
      </w:r>
    </w:p>
    <w:p w:rsidR="00064B7F" w:rsidRPr="00237D85" w:rsidRDefault="00064B7F" w:rsidP="00320CC4">
      <w:pPr>
        <w:pStyle w:val="CRPD-Questionstyle"/>
        <w:widowControl w:val="0"/>
        <w:spacing w:line="240" w:lineRule="auto"/>
        <w:rPr>
          <w:lang w:val="en-NZ"/>
        </w:rPr>
      </w:pPr>
      <w:r w:rsidRPr="00237D85">
        <w:rPr>
          <w:lang w:val="en-NZ"/>
        </w:rPr>
        <w:tab/>
        <w:t>(e)</w:t>
      </w:r>
      <w:r w:rsidRPr="00237D85">
        <w:rPr>
          <w:lang w:val="en-NZ"/>
        </w:rPr>
        <w:tab/>
        <w:t>Strategies to enhance access to community services and periodic assessments concerning de facto accessibility by all persons with disabilities;</w:t>
      </w:r>
    </w:p>
    <w:p w:rsidR="00064B7F" w:rsidRPr="00D07F88" w:rsidRDefault="004A186B" w:rsidP="00320CC4">
      <w:pPr>
        <w:pStyle w:val="CRPD-subsectionheading"/>
        <w:spacing w:line="240" w:lineRule="auto"/>
      </w:pPr>
      <w:r w:rsidRPr="00237D85">
        <w:t>The</w:t>
      </w:r>
      <w:r w:rsidR="002853E2" w:rsidRPr="00237D85">
        <w:t xml:space="preserve"> </w:t>
      </w:r>
      <w:r w:rsidR="00064B7F" w:rsidRPr="00237D85">
        <w:t>disability</w:t>
      </w:r>
      <w:r w:rsidR="002853E2" w:rsidRPr="00237D85">
        <w:t xml:space="preserve"> support</w:t>
      </w:r>
      <w:r w:rsidR="00064B7F" w:rsidRPr="00237D85">
        <w:t xml:space="preserve"> system transform</w:t>
      </w:r>
      <w:r w:rsidR="002853E2" w:rsidRPr="00237D85">
        <w:t>ation</w:t>
      </w:r>
      <w:r w:rsidR="00D15130" w:rsidRPr="00237D85">
        <w:t xml:space="preserve"> </w:t>
      </w:r>
      <w:r w:rsidR="008208E6">
        <w:t xml:space="preserve">prototype </w:t>
      </w:r>
      <w:r w:rsidR="00D15130" w:rsidRPr="00237D85">
        <w:t>will</w:t>
      </w:r>
      <w:r w:rsidRPr="00237D85">
        <w:t xml:space="preserve"> enhance access to community services </w:t>
      </w:r>
      <w:r w:rsidR="00D15130" w:rsidRPr="00237D85">
        <w:t xml:space="preserve">through providing greater choice and control in the supports that people </w:t>
      </w:r>
      <w:r w:rsidR="00CB576C">
        <w:t>access</w:t>
      </w:r>
      <w:r w:rsidR="00D15130" w:rsidRPr="00237D85">
        <w:t>. S</w:t>
      </w:r>
      <w:r w:rsidRPr="00237D85">
        <w:t xml:space="preserve">ee </w:t>
      </w:r>
      <w:r w:rsidR="00D15130" w:rsidRPr="00237D85">
        <w:t>introduct</w:t>
      </w:r>
      <w:r w:rsidR="008F7047">
        <w:t>ion</w:t>
      </w:r>
      <w:r w:rsidR="00064B7F" w:rsidRPr="00237D85">
        <w:t>.</w:t>
      </w:r>
    </w:p>
    <w:p w:rsidR="00064B7F" w:rsidRPr="00237D85" w:rsidRDefault="00064B7F" w:rsidP="00320CC4">
      <w:pPr>
        <w:pStyle w:val="CRPD-Questionstyle"/>
        <w:widowControl w:val="0"/>
        <w:spacing w:line="240" w:lineRule="auto"/>
        <w:rPr>
          <w:lang w:val="en-NZ"/>
        </w:rPr>
      </w:pPr>
      <w:bookmarkStart w:id="12" w:name="_Hlk512429159"/>
      <w:r w:rsidRPr="00237D85">
        <w:rPr>
          <w:lang w:val="en-NZ"/>
        </w:rPr>
        <w:tab/>
        <w:t>(f)</w:t>
      </w:r>
      <w:r w:rsidRPr="00237D85">
        <w:rPr>
          <w:lang w:val="en-NZ"/>
        </w:rPr>
        <w:tab/>
        <w:t xml:space="preserve">The proportion of persons with disabilities </w:t>
      </w:r>
      <w:r w:rsidRPr="00237D85">
        <w:rPr>
          <w:lang w:val="en-NZ"/>
        </w:rPr>
        <w:lastRenderedPageBreak/>
        <w:t>whose subjective belief is that society is inclusive and responsive, and objective data disaggregated by sex, age, ethnicity, disability and any dimensions that enrich the understanding of diversity and the variety.</w:t>
      </w:r>
    </w:p>
    <w:bookmarkEnd w:id="12"/>
    <w:p w:rsidR="00064B7F" w:rsidRPr="00237D85" w:rsidRDefault="00064B7F" w:rsidP="00320CC4">
      <w:pPr>
        <w:pStyle w:val="CRPD-subsectionheading"/>
        <w:spacing w:line="240" w:lineRule="auto"/>
      </w:pPr>
      <w:r w:rsidRPr="00237D85">
        <w:t xml:space="preserve">There are no specific measures </w:t>
      </w:r>
      <w:r w:rsidR="000A4076">
        <w:t xml:space="preserve">in </w:t>
      </w:r>
      <w:r w:rsidR="008F7047">
        <w:t>Government</w:t>
      </w:r>
      <w:r w:rsidR="000A4076">
        <w:t xml:space="preserve"> surveys </w:t>
      </w:r>
      <w:r w:rsidRPr="00237D85">
        <w:t xml:space="preserve">on </w:t>
      </w:r>
      <w:r w:rsidR="00BB2BE6">
        <w:t xml:space="preserve">New Zealanders’ </w:t>
      </w:r>
      <w:r w:rsidRPr="00237D85">
        <w:t xml:space="preserve">subjective beliefs about whether society is inclusive and responsive. </w:t>
      </w:r>
    </w:p>
    <w:p w:rsidR="00064B7F" w:rsidRPr="0057318B" w:rsidRDefault="00064B7F" w:rsidP="00320CC4">
      <w:pPr>
        <w:pStyle w:val="CRPD-subsectionheading"/>
        <w:spacing w:line="240" w:lineRule="auto"/>
      </w:pPr>
      <w:r w:rsidRPr="0057318B">
        <w:t xml:space="preserve">The </w:t>
      </w:r>
      <w:r w:rsidR="00987E1F">
        <w:rPr>
          <w:i/>
        </w:rPr>
        <w:t>NZ</w:t>
      </w:r>
      <w:r w:rsidR="00D15130" w:rsidRPr="0057318B">
        <w:rPr>
          <w:i/>
        </w:rPr>
        <w:t xml:space="preserve"> General Social Su</w:t>
      </w:r>
      <w:r w:rsidR="00D15130" w:rsidRPr="00D4228A">
        <w:rPr>
          <w:i/>
        </w:rPr>
        <w:t>rvey: 2016</w:t>
      </w:r>
      <w:r w:rsidR="00D4228A" w:rsidRPr="00D4228A">
        <w:rPr>
          <w:i/>
        </w:rPr>
        <w:t xml:space="preserve"> </w:t>
      </w:r>
      <w:r w:rsidR="00D4228A">
        <w:t>gave a picture of social well</w:t>
      </w:r>
      <w:r w:rsidR="00D4228A" w:rsidRPr="00D4228A">
        <w:t>being in NZ adults</w:t>
      </w:r>
      <w:r w:rsidR="00FE3307" w:rsidRPr="00D4228A">
        <w:t xml:space="preserve">. </w:t>
      </w:r>
      <w:r w:rsidR="001B25BD">
        <w:t>It</w:t>
      </w:r>
      <w:r w:rsidR="00FE3307" w:rsidRPr="00237D85">
        <w:t xml:space="preserve"> </w:t>
      </w:r>
      <w:r w:rsidRPr="0057318B">
        <w:t xml:space="preserve">found that: </w:t>
      </w:r>
    </w:p>
    <w:p w:rsidR="00064B7F" w:rsidRPr="00237D85" w:rsidRDefault="00064B7F" w:rsidP="00320CC4">
      <w:pPr>
        <w:pStyle w:val="CRPDStateParty-bullets"/>
        <w:widowControl w:val="0"/>
        <w:spacing w:line="240" w:lineRule="auto"/>
        <w:rPr>
          <w:lang w:val="en-NZ"/>
        </w:rPr>
      </w:pPr>
      <w:r w:rsidRPr="0057318B">
        <w:rPr>
          <w:lang w:val="en-NZ"/>
        </w:rPr>
        <w:t>62</w:t>
      </w:r>
      <w:r w:rsidR="00922AFF">
        <w:rPr>
          <w:lang w:val="en-NZ"/>
        </w:rPr>
        <w:t>%</w:t>
      </w:r>
      <w:r w:rsidRPr="0057318B">
        <w:rPr>
          <w:lang w:val="en-NZ"/>
        </w:rPr>
        <w:t xml:space="preserve"> of disabled </w:t>
      </w:r>
      <w:r w:rsidR="0057318B">
        <w:rPr>
          <w:lang w:val="en-NZ"/>
        </w:rPr>
        <w:t>adults</w:t>
      </w:r>
      <w:r w:rsidR="008208E6">
        <w:rPr>
          <w:lang w:val="en-NZ"/>
        </w:rPr>
        <w:t xml:space="preserve"> (</w:t>
      </w:r>
      <w:r w:rsidR="008208E6" w:rsidRPr="00237D85">
        <w:rPr>
          <w:lang w:val="en-NZ"/>
        </w:rPr>
        <w:t>compared with 85</w:t>
      </w:r>
      <w:r w:rsidR="008208E6">
        <w:rPr>
          <w:lang w:val="en-NZ"/>
        </w:rPr>
        <w:t>%</w:t>
      </w:r>
      <w:r w:rsidR="008208E6" w:rsidRPr="00237D85">
        <w:rPr>
          <w:lang w:val="en-NZ"/>
        </w:rPr>
        <w:t xml:space="preserve"> of non-disabled </w:t>
      </w:r>
      <w:r w:rsidR="008208E6">
        <w:rPr>
          <w:lang w:val="en-NZ"/>
        </w:rPr>
        <w:t>adults)</w:t>
      </w:r>
      <w:r w:rsidR="008208E6" w:rsidRPr="00237D85">
        <w:rPr>
          <w:lang w:val="en-NZ"/>
        </w:rPr>
        <w:t xml:space="preserve"> </w:t>
      </w:r>
      <w:r w:rsidRPr="0057318B">
        <w:rPr>
          <w:lang w:val="en-NZ"/>
        </w:rPr>
        <w:t>rated their overall</w:t>
      </w:r>
      <w:r w:rsidR="0013786C">
        <w:rPr>
          <w:lang w:val="en-NZ"/>
        </w:rPr>
        <w:t xml:space="preserve"> life </w:t>
      </w:r>
      <w:r w:rsidRPr="00237D85">
        <w:rPr>
          <w:lang w:val="en-NZ"/>
        </w:rPr>
        <w:t xml:space="preserve">satisfaction as 7 or more out of 10 </w:t>
      </w:r>
    </w:p>
    <w:p w:rsidR="00064B7F" w:rsidRPr="00237D85" w:rsidRDefault="00064B7F" w:rsidP="00320CC4">
      <w:pPr>
        <w:pStyle w:val="CRPDStateParty-bullets"/>
        <w:widowControl w:val="0"/>
        <w:spacing w:line="240" w:lineRule="auto"/>
        <w:rPr>
          <w:lang w:val="en-NZ"/>
        </w:rPr>
      </w:pPr>
      <w:r w:rsidRPr="00237D85">
        <w:rPr>
          <w:lang w:val="en-NZ"/>
        </w:rPr>
        <w:t>75</w:t>
      </w:r>
      <w:r w:rsidR="00922AFF">
        <w:rPr>
          <w:lang w:val="en-NZ"/>
        </w:rPr>
        <w:t>%</w:t>
      </w:r>
      <w:r w:rsidRPr="00237D85">
        <w:rPr>
          <w:lang w:val="en-NZ"/>
        </w:rPr>
        <w:t xml:space="preserve"> of disabled </w:t>
      </w:r>
      <w:r w:rsidR="0057318B">
        <w:rPr>
          <w:lang w:val="en-NZ"/>
        </w:rPr>
        <w:t>adults</w:t>
      </w:r>
      <w:r w:rsidRPr="00237D85">
        <w:rPr>
          <w:lang w:val="en-NZ"/>
        </w:rPr>
        <w:t xml:space="preserve"> </w:t>
      </w:r>
      <w:r w:rsidR="008208E6">
        <w:rPr>
          <w:lang w:val="en-NZ"/>
        </w:rPr>
        <w:t>(</w:t>
      </w:r>
      <w:r w:rsidR="008208E6" w:rsidRPr="00237D85">
        <w:rPr>
          <w:lang w:val="en-NZ"/>
        </w:rPr>
        <w:t>compared with 89</w:t>
      </w:r>
      <w:r w:rsidR="008208E6">
        <w:rPr>
          <w:lang w:val="en-NZ"/>
        </w:rPr>
        <w:t>%</w:t>
      </w:r>
      <w:r w:rsidR="008208E6" w:rsidRPr="00237D85">
        <w:rPr>
          <w:lang w:val="en-NZ"/>
        </w:rPr>
        <w:t xml:space="preserve"> of non-disabled </w:t>
      </w:r>
      <w:r w:rsidR="008208E6">
        <w:rPr>
          <w:lang w:val="en-NZ"/>
        </w:rPr>
        <w:t>adults)</w:t>
      </w:r>
      <w:r w:rsidR="008208E6" w:rsidRPr="00237D85">
        <w:rPr>
          <w:lang w:val="en-NZ"/>
        </w:rPr>
        <w:t xml:space="preserve"> </w:t>
      </w:r>
      <w:r w:rsidRPr="00237D85">
        <w:rPr>
          <w:lang w:val="en-NZ"/>
        </w:rPr>
        <w:t xml:space="preserve">had a strong sense of purpose </w:t>
      </w:r>
    </w:p>
    <w:p w:rsidR="00064B7F" w:rsidRPr="00237D85" w:rsidRDefault="00064B7F" w:rsidP="00320CC4">
      <w:pPr>
        <w:pStyle w:val="CRPDStateParty-bullets"/>
        <w:widowControl w:val="0"/>
        <w:spacing w:line="240" w:lineRule="auto"/>
        <w:rPr>
          <w:lang w:val="en-NZ"/>
        </w:rPr>
      </w:pPr>
      <w:r w:rsidRPr="00237D85">
        <w:rPr>
          <w:lang w:val="en-NZ"/>
        </w:rPr>
        <w:t>50</w:t>
      </w:r>
      <w:r w:rsidR="00922AFF">
        <w:rPr>
          <w:lang w:val="en-NZ"/>
        </w:rPr>
        <w:t>%</w:t>
      </w:r>
      <w:r w:rsidRPr="00237D85">
        <w:rPr>
          <w:lang w:val="en-NZ"/>
        </w:rPr>
        <w:t xml:space="preserve"> of disabled </w:t>
      </w:r>
      <w:r w:rsidR="0057318B">
        <w:rPr>
          <w:lang w:val="en-NZ"/>
        </w:rPr>
        <w:t>adults</w:t>
      </w:r>
      <w:r w:rsidRPr="00237D85">
        <w:rPr>
          <w:lang w:val="en-NZ"/>
        </w:rPr>
        <w:t xml:space="preserve"> </w:t>
      </w:r>
      <w:r w:rsidR="008208E6">
        <w:rPr>
          <w:lang w:val="en-NZ"/>
        </w:rPr>
        <w:t>(</w:t>
      </w:r>
      <w:r w:rsidR="008208E6" w:rsidRPr="00237D85">
        <w:rPr>
          <w:lang w:val="en-NZ"/>
        </w:rPr>
        <w:t>compared with 61</w:t>
      </w:r>
      <w:r w:rsidR="008208E6">
        <w:rPr>
          <w:lang w:val="en-NZ"/>
        </w:rPr>
        <w:t>%</w:t>
      </w:r>
      <w:r w:rsidR="008208E6" w:rsidRPr="00237D85">
        <w:rPr>
          <w:lang w:val="en-NZ"/>
        </w:rPr>
        <w:t xml:space="preserve"> of non</w:t>
      </w:r>
      <w:r w:rsidR="008208E6">
        <w:rPr>
          <w:lang w:val="en-NZ"/>
        </w:rPr>
        <w:t>-</w:t>
      </w:r>
      <w:r w:rsidR="008208E6" w:rsidRPr="00237D85">
        <w:rPr>
          <w:lang w:val="en-NZ"/>
        </w:rPr>
        <w:t xml:space="preserve">disabled </w:t>
      </w:r>
      <w:r w:rsidR="008208E6">
        <w:rPr>
          <w:lang w:val="en-NZ"/>
        </w:rPr>
        <w:t>adults)</w:t>
      </w:r>
      <w:r w:rsidR="008208E6" w:rsidRPr="00237D85">
        <w:rPr>
          <w:lang w:val="en-NZ"/>
        </w:rPr>
        <w:t xml:space="preserve"> </w:t>
      </w:r>
      <w:r w:rsidRPr="00237D85">
        <w:rPr>
          <w:lang w:val="en-NZ"/>
        </w:rPr>
        <w:t>did not feel lonely in the last four weeks</w:t>
      </w:r>
      <w:r w:rsidRPr="00237D85">
        <w:rPr>
          <w:rStyle w:val="FootnoteReference"/>
          <w:lang w:val="en-NZ"/>
        </w:rPr>
        <w:footnoteReference w:id="165"/>
      </w:r>
      <w:r w:rsidRPr="00237D85">
        <w:rPr>
          <w:lang w:val="en-NZ"/>
        </w:rPr>
        <w:t>.</w:t>
      </w:r>
    </w:p>
    <w:p w:rsidR="00064B7F" w:rsidRPr="00237D85" w:rsidRDefault="00064B7F" w:rsidP="00320CC4">
      <w:pPr>
        <w:pStyle w:val="CRPD-subsectionheading"/>
        <w:spacing w:line="240" w:lineRule="auto"/>
      </w:pPr>
      <w:r w:rsidRPr="00237D85">
        <w:t xml:space="preserve">These data are not disaggregated by sex, age or ethnicity </w:t>
      </w:r>
      <w:r w:rsidR="000A4076">
        <w:t>for reasons of data</w:t>
      </w:r>
      <w:r w:rsidRPr="00237D85">
        <w:t xml:space="preserve"> quality and </w:t>
      </w:r>
      <w:r w:rsidR="000A4076">
        <w:t xml:space="preserve">respondent </w:t>
      </w:r>
      <w:r w:rsidRPr="00237D85">
        <w:t xml:space="preserve">confidentiality. </w:t>
      </w:r>
    </w:p>
    <w:p w:rsidR="00027302" w:rsidRPr="00EE3301" w:rsidRDefault="00027302" w:rsidP="00320CC4">
      <w:pPr>
        <w:suppressAutoHyphens w:val="0"/>
        <w:spacing w:line="240" w:lineRule="auto"/>
        <w:rPr>
          <w:b/>
          <w:sz w:val="28"/>
          <w:szCs w:val="24"/>
          <w:lang w:eastAsia="zh-CN"/>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Personal mobility (art. 20)</w:t>
      </w:r>
    </w:p>
    <w:p w:rsidR="00064B7F" w:rsidRPr="00237D85" w:rsidRDefault="00064B7F" w:rsidP="00320CC4">
      <w:pPr>
        <w:pStyle w:val="CRPD-Questionstyle"/>
        <w:widowControl w:val="0"/>
        <w:spacing w:line="240" w:lineRule="auto"/>
        <w:rPr>
          <w:lang w:val="en-NZ"/>
        </w:rPr>
      </w:pPr>
      <w:r w:rsidRPr="00237D85">
        <w:rPr>
          <w:lang w:val="en-NZ"/>
        </w:rPr>
        <w:t>19.</w:t>
      </w:r>
      <w:r w:rsidRPr="00237D85">
        <w:rPr>
          <w:lang w:val="en-NZ"/>
        </w:rPr>
        <w:tab/>
      </w:r>
    </w:p>
    <w:p w:rsidR="00064B7F" w:rsidRPr="00DE7901" w:rsidRDefault="00064B7F" w:rsidP="00320CC4">
      <w:pPr>
        <w:pStyle w:val="CRPD-Questionstyle"/>
        <w:widowControl w:val="0"/>
        <w:spacing w:line="240" w:lineRule="auto"/>
        <w:rPr>
          <w:lang w:val="en-NZ"/>
        </w:rPr>
      </w:pPr>
      <w:r w:rsidRPr="00237D85">
        <w:rPr>
          <w:lang w:val="en-NZ"/>
        </w:rPr>
        <w:tab/>
        <w:t>(a)</w:t>
      </w:r>
      <w:r w:rsidRPr="00237D85">
        <w:rPr>
          <w:lang w:val="en-NZ"/>
        </w:rPr>
        <w:tab/>
        <w:t xml:space="preserve">Measures taken to facilitate the personal mobility in all spheres of life of all persons with disabilities and their families, including the provision of reasonable accommodation and </w:t>
      </w:r>
      <w:r w:rsidRPr="00DE7901">
        <w:rPr>
          <w:lang w:val="en-NZ"/>
        </w:rPr>
        <w:t>modification of the environments;</w:t>
      </w:r>
    </w:p>
    <w:p w:rsidR="008208E6" w:rsidRPr="00DE7901" w:rsidRDefault="00DC485D" w:rsidP="00320CC4">
      <w:pPr>
        <w:pStyle w:val="CRPD-subsectionheading"/>
        <w:spacing w:line="240" w:lineRule="auto"/>
      </w:pPr>
      <w:r>
        <w:t xml:space="preserve">The Ministry of Health funds </w:t>
      </w:r>
      <w:r w:rsidR="008208E6" w:rsidRPr="00DE7901">
        <w:t>Equipment and Modification Services</w:t>
      </w:r>
      <w:r w:rsidR="008208E6" w:rsidRPr="00DE7901">
        <w:rPr>
          <w:rStyle w:val="FootnoteReference"/>
        </w:rPr>
        <w:footnoteReference w:id="166"/>
      </w:r>
      <w:r w:rsidR="008208E6">
        <w:t>:</w:t>
      </w:r>
    </w:p>
    <w:p w:rsidR="00DC1053" w:rsidRPr="00DE7901" w:rsidRDefault="008208E6" w:rsidP="00320CC4">
      <w:pPr>
        <w:pStyle w:val="CRPDStateParty-bullets"/>
        <w:widowControl w:val="0"/>
        <w:spacing w:line="240" w:lineRule="auto"/>
        <w:rPr>
          <w:lang w:val="en-NZ"/>
        </w:rPr>
      </w:pPr>
      <w:r w:rsidRPr="008208E6">
        <w:rPr>
          <w:b/>
          <w:lang w:val="en-NZ"/>
        </w:rPr>
        <w:t>e</w:t>
      </w:r>
      <w:r w:rsidR="00DC1053" w:rsidRPr="008208E6">
        <w:rPr>
          <w:b/>
          <w:lang w:val="en-NZ"/>
        </w:rPr>
        <w:t>quipment</w:t>
      </w:r>
      <w:r w:rsidR="00DC1053" w:rsidRPr="00DE7901">
        <w:rPr>
          <w:lang w:val="en-NZ"/>
        </w:rPr>
        <w:t xml:space="preserve"> </w:t>
      </w:r>
      <w:r>
        <w:rPr>
          <w:lang w:val="en-NZ"/>
        </w:rPr>
        <w:t xml:space="preserve">(for all ages) - </w:t>
      </w:r>
      <w:r w:rsidR="00DC1053" w:rsidRPr="00DE7901">
        <w:rPr>
          <w:lang w:val="en-NZ"/>
        </w:rPr>
        <w:t>provided at no charge and loaned for as long as needed. For example, bathing or toilet aids, wheelchairs, hoists, walking frames, and equipment to hel</w:t>
      </w:r>
      <w:r w:rsidR="003F63C2">
        <w:rPr>
          <w:lang w:val="en-NZ"/>
        </w:rPr>
        <w:t>p with communication and vision</w:t>
      </w:r>
    </w:p>
    <w:p w:rsidR="00DC1053" w:rsidRPr="00DE7901" w:rsidRDefault="00064B7F" w:rsidP="00320CC4">
      <w:pPr>
        <w:pStyle w:val="CRPDStateParty-bullets"/>
        <w:widowControl w:val="0"/>
        <w:spacing w:line="240" w:lineRule="auto"/>
        <w:rPr>
          <w:lang w:val="en-NZ"/>
        </w:rPr>
      </w:pPr>
      <w:r w:rsidRPr="008208E6">
        <w:rPr>
          <w:b/>
          <w:lang w:val="en-NZ"/>
        </w:rPr>
        <w:t>housing modifications</w:t>
      </w:r>
      <w:r w:rsidR="008208E6" w:rsidRPr="003F63C2">
        <w:rPr>
          <w:lang w:val="en-NZ"/>
        </w:rPr>
        <w:t xml:space="preserve"> -</w:t>
      </w:r>
      <w:r w:rsidR="00DC1053" w:rsidRPr="00DE7901">
        <w:rPr>
          <w:lang w:val="en-NZ"/>
        </w:rPr>
        <w:t xml:space="preserve"> </w:t>
      </w:r>
      <w:r w:rsidR="008208E6">
        <w:rPr>
          <w:lang w:val="en-NZ"/>
        </w:rPr>
        <w:t>(</w:t>
      </w:r>
      <w:r w:rsidR="008208E6" w:rsidRPr="00DE7901">
        <w:rPr>
          <w:lang w:val="en-NZ"/>
        </w:rPr>
        <w:t>permanent or temporary</w:t>
      </w:r>
      <w:r w:rsidR="008208E6">
        <w:rPr>
          <w:lang w:val="en-NZ"/>
        </w:rPr>
        <w:t>)</w:t>
      </w:r>
      <w:r w:rsidR="008208E6" w:rsidRPr="00DE7901">
        <w:rPr>
          <w:lang w:val="en-NZ"/>
        </w:rPr>
        <w:t xml:space="preserve"> </w:t>
      </w:r>
      <w:r w:rsidR="00DC1053" w:rsidRPr="00DE7901">
        <w:rPr>
          <w:lang w:val="en-NZ"/>
        </w:rPr>
        <w:t xml:space="preserve">to support improved access in and around </w:t>
      </w:r>
      <w:r w:rsidR="001B25BD">
        <w:rPr>
          <w:lang w:val="en-NZ"/>
        </w:rPr>
        <w:t xml:space="preserve">the </w:t>
      </w:r>
      <w:r w:rsidR="00DC1053" w:rsidRPr="00DE7901">
        <w:rPr>
          <w:lang w:val="en-NZ"/>
        </w:rPr>
        <w:t>home</w:t>
      </w:r>
      <w:r w:rsidRPr="00DE7901">
        <w:rPr>
          <w:lang w:val="en-NZ"/>
        </w:rPr>
        <w:t xml:space="preserve"> </w:t>
      </w:r>
      <w:r w:rsidR="00B70EBF">
        <w:rPr>
          <w:lang w:val="en-NZ"/>
        </w:rPr>
        <w:t>including</w:t>
      </w:r>
      <w:r w:rsidRPr="00DE7901">
        <w:rPr>
          <w:lang w:val="en-NZ"/>
        </w:rPr>
        <w:t xml:space="preserve"> handrails, ramps, bathroom and kitchen modifications </w:t>
      </w:r>
    </w:p>
    <w:p w:rsidR="00064B7F" w:rsidRPr="00237D85" w:rsidRDefault="00064B7F" w:rsidP="00320CC4">
      <w:pPr>
        <w:pStyle w:val="CRPDStateParty-bullets"/>
        <w:widowControl w:val="0"/>
        <w:spacing w:line="240" w:lineRule="auto"/>
        <w:rPr>
          <w:lang w:val="en-NZ"/>
        </w:rPr>
      </w:pPr>
      <w:r w:rsidRPr="003F63C2">
        <w:rPr>
          <w:b/>
          <w:lang w:val="en-NZ"/>
        </w:rPr>
        <w:lastRenderedPageBreak/>
        <w:t>vehicle</w:t>
      </w:r>
      <w:r w:rsidR="00DC1053" w:rsidRPr="003F63C2">
        <w:rPr>
          <w:b/>
          <w:lang w:val="en-NZ"/>
        </w:rPr>
        <w:t xml:space="preserve"> </w:t>
      </w:r>
      <w:r w:rsidRPr="003F63C2">
        <w:rPr>
          <w:b/>
          <w:lang w:val="en-NZ"/>
        </w:rPr>
        <w:t>purchase and</w:t>
      </w:r>
      <w:r w:rsidR="00DC1053" w:rsidRPr="003F63C2">
        <w:rPr>
          <w:b/>
          <w:lang w:val="en-NZ"/>
        </w:rPr>
        <w:t>/or</w:t>
      </w:r>
      <w:r w:rsidRPr="003F63C2">
        <w:rPr>
          <w:b/>
          <w:lang w:val="en-NZ"/>
        </w:rPr>
        <w:t xml:space="preserve"> modifications</w:t>
      </w:r>
      <w:r w:rsidR="003F63C2">
        <w:rPr>
          <w:lang w:val="en-NZ"/>
        </w:rPr>
        <w:t xml:space="preserve"> -</w:t>
      </w:r>
      <w:r w:rsidRPr="00237D85">
        <w:rPr>
          <w:lang w:val="en-NZ"/>
        </w:rPr>
        <w:t xml:space="preserve"> </w:t>
      </w:r>
      <w:r w:rsidR="00B70EBF">
        <w:rPr>
          <w:lang w:val="en-NZ"/>
        </w:rPr>
        <w:t>including</w:t>
      </w:r>
      <w:r w:rsidRPr="00237D85">
        <w:rPr>
          <w:lang w:val="en-NZ"/>
        </w:rPr>
        <w:t xml:space="preserve"> hand controls and vehicle</w:t>
      </w:r>
      <w:r w:rsidR="000C7F35" w:rsidRPr="00237D85">
        <w:rPr>
          <w:lang w:val="en-NZ"/>
        </w:rPr>
        <w:t>-</w:t>
      </w:r>
      <w:r w:rsidRPr="00237D85">
        <w:rPr>
          <w:lang w:val="en-NZ"/>
        </w:rPr>
        <w:t xml:space="preserve">mounted hoists. </w:t>
      </w:r>
    </w:p>
    <w:p w:rsidR="00064B7F" w:rsidRPr="00237D85" w:rsidRDefault="00DC1053" w:rsidP="00320CC4">
      <w:pPr>
        <w:pStyle w:val="CRPD-subsectionheading"/>
        <w:spacing w:line="240" w:lineRule="auto"/>
      </w:pPr>
      <w:r w:rsidRPr="00237D85">
        <w:t xml:space="preserve">These services are </w:t>
      </w:r>
      <w:r w:rsidR="00064B7F" w:rsidRPr="00237D85">
        <w:t>availab</w:t>
      </w:r>
      <w:r w:rsidRPr="00237D85">
        <w:t>le</w:t>
      </w:r>
      <w:r w:rsidR="00064B7F" w:rsidRPr="00237D85">
        <w:t xml:space="preserve"> to people </w:t>
      </w:r>
      <w:r w:rsidRPr="00237D85">
        <w:t>with</w:t>
      </w:r>
      <w:r w:rsidR="00064B7F" w:rsidRPr="00237D85">
        <w:t xml:space="preserve"> long-term physica</w:t>
      </w:r>
      <w:r w:rsidRPr="00237D85">
        <w:t>l, intellectual, sensory or age-</w:t>
      </w:r>
      <w:r w:rsidR="00064B7F" w:rsidRPr="00237D85">
        <w:t xml:space="preserve">related disabilities who meet </w:t>
      </w:r>
      <w:r w:rsidRPr="00237D85">
        <w:t>the</w:t>
      </w:r>
      <w:r w:rsidR="00064B7F" w:rsidRPr="00237D85">
        <w:t xml:space="preserve"> access criteria.</w:t>
      </w:r>
      <w:r w:rsidRPr="00237D85">
        <w:t xml:space="preserve"> Health professionals work with people to assess their eligibility and specific needs.</w:t>
      </w:r>
    </w:p>
    <w:p w:rsidR="00064B7F" w:rsidRPr="0098402F" w:rsidRDefault="00DC1053" w:rsidP="00320CC4">
      <w:pPr>
        <w:pStyle w:val="CRPD-subsectionheading"/>
        <w:spacing w:line="240" w:lineRule="auto"/>
      </w:pPr>
      <w:r w:rsidRPr="0098402F">
        <w:t xml:space="preserve">The Ministry of Health offers </w:t>
      </w:r>
      <w:r w:rsidR="00064B7F" w:rsidRPr="0098402F">
        <w:t xml:space="preserve">Specialised Assessment Services for </w:t>
      </w:r>
      <w:r w:rsidR="001B25BD">
        <w:t>people with</w:t>
      </w:r>
      <w:r w:rsidR="00064B7F" w:rsidRPr="0098402F">
        <w:t xml:space="preserve"> very complex needs </w:t>
      </w:r>
      <w:r w:rsidR="00B70EBF">
        <w:t>including</w:t>
      </w:r>
      <w:r w:rsidR="00064B7F" w:rsidRPr="0098402F">
        <w:t xml:space="preserve"> complex wheelchairs and communication assistive technology. </w:t>
      </w:r>
    </w:p>
    <w:p w:rsidR="00416B11" w:rsidRPr="0098402F" w:rsidRDefault="00416B11" w:rsidP="00320CC4">
      <w:pPr>
        <w:pStyle w:val="CRPD-subsectionheading"/>
        <w:spacing w:line="240" w:lineRule="auto"/>
      </w:pPr>
      <w:r w:rsidRPr="0098402F">
        <w:t xml:space="preserve">See question </w:t>
      </w:r>
      <w:r w:rsidR="00BD219F" w:rsidRPr="0098402F">
        <w:t>22</w:t>
      </w:r>
      <w:r w:rsidR="00CB576C" w:rsidRPr="0098402F">
        <w:t>(c) for education modifications.</w:t>
      </w: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 xml:space="preserve">Measures taken to </w:t>
      </w:r>
      <w:r w:rsidR="003F63C2">
        <w:rPr>
          <w:lang w:val="en-NZ"/>
        </w:rPr>
        <w:t>ens</w:t>
      </w:r>
      <w:r w:rsidRPr="00237D85">
        <w:rPr>
          <w:lang w:val="en-NZ"/>
        </w:rPr>
        <w:t>ure persons with disabilities and their families have access to necessary personal mobility aids, devices and other assistive technologies, including regulations allowing public procurement as a tool to provide mobility;</w:t>
      </w:r>
    </w:p>
    <w:p w:rsidR="00AF1B40" w:rsidRPr="00237D85" w:rsidRDefault="00064B7F" w:rsidP="00320CC4">
      <w:pPr>
        <w:pStyle w:val="CRPD-subsectionheading"/>
        <w:spacing w:line="240" w:lineRule="auto"/>
      </w:pPr>
      <w:r w:rsidRPr="00237D85">
        <w:t xml:space="preserve">The Ministry of Health contracts two providers to administer and manage Equipment and </w:t>
      </w:r>
      <w:r w:rsidRPr="0098402F">
        <w:t xml:space="preserve">Modification Services </w:t>
      </w:r>
      <w:r w:rsidR="00DC1053" w:rsidRPr="0098402F">
        <w:t xml:space="preserve">(see </w:t>
      </w:r>
      <w:r w:rsidR="00A96E48" w:rsidRPr="0098402F">
        <w:t>question</w:t>
      </w:r>
      <w:r w:rsidR="00DC1053" w:rsidRPr="0098402F">
        <w:t xml:space="preserve"> 19(a))</w:t>
      </w:r>
      <w:r w:rsidRPr="0098402F">
        <w:t>.</w:t>
      </w:r>
      <w:r w:rsidRPr="00237D85">
        <w:t xml:space="preserve"> Both providers procure using tender, panel supply arrangements, and bulk and individual</w:t>
      </w:r>
      <w:r w:rsidR="00AF1B40" w:rsidRPr="00237D85">
        <w:t>ly</w:t>
      </w:r>
      <w:r w:rsidRPr="00237D85">
        <w:t xml:space="preserve"> customised purchasing. </w:t>
      </w:r>
    </w:p>
    <w:p w:rsidR="00064B7F" w:rsidRPr="00D07F88" w:rsidRDefault="00AF1B40" w:rsidP="00320CC4">
      <w:pPr>
        <w:pStyle w:val="CRPD-subsectionheading"/>
        <w:spacing w:line="240" w:lineRule="auto"/>
      </w:pPr>
      <w:r w:rsidRPr="00237D85">
        <w:t>Equipment is purchased at competitive rates ensuring value for money and quality equipment. The providers are responsible for asset management (repairs and maintenance, recall, collection, appropriate refurbishment and reissue of funded equipment).</w:t>
      </w:r>
    </w:p>
    <w:p w:rsidR="00064B7F" w:rsidRPr="00237D85" w:rsidRDefault="00064B7F" w:rsidP="00320CC4">
      <w:pPr>
        <w:pStyle w:val="CRPD-Questionstyle"/>
        <w:widowControl w:val="0"/>
        <w:spacing w:line="240" w:lineRule="auto"/>
        <w:rPr>
          <w:lang w:val="en-NZ"/>
        </w:rPr>
      </w:pPr>
      <w:r w:rsidRPr="00237D85">
        <w:rPr>
          <w:lang w:val="en-NZ"/>
        </w:rPr>
        <w:tab/>
        <w:t>(c)</w:t>
      </w:r>
      <w:r w:rsidRPr="00237D85">
        <w:rPr>
          <w:lang w:val="en-NZ"/>
        </w:rPr>
        <w:tab/>
        <w:t>Measures taken to ensure equal access to the Accident Compensation Corporation to persons with disabilities in cases of impairment and injury, and measures taken to mainstream and simplify access to mobility devices by persons with disabilities at the local level and ensure a quality of life for all persons with disabilities, irrespective of the origin of impairment.</w:t>
      </w:r>
    </w:p>
    <w:p w:rsidR="00AF1B40" w:rsidRPr="00237D85" w:rsidRDefault="006D184F" w:rsidP="00320CC4">
      <w:pPr>
        <w:pStyle w:val="CRPD-subsectionheading"/>
        <w:spacing w:line="240" w:lineRule="auto"/>
      </w:pPr>
      <w:r>
        <w:t xml:space="preserve">The Government acknowledges that </w:t>
      </w:r>
      <w:r w:rsidR="003F63C2">
        <w:t xml:space="preserve">disabled people are funded differently </w:t>
      </w:r>
      <w:r>
        <w:t>depending on the cause of an impairment</w:t>
      </w:r>
      <w:r w:rsidR="003F63C2">
        <w:t>.</w:t>
      </w:r>
      <w:r>
        <w:t xml:space="preserve"> </w:t>
      </w:r>
    </w:p>
    <w:p w:rsidR="00064B7F" w:rsidRPr="00237D85" w:rsidRDefault="00FE5EC6" w:rsidP="00320CC4">
      <w:pPr>
        <w:pStyle w:val="CRPD-subsectionheading"/>
        <w:spacing w:line="240" w:lineRule="auto"/>
      </w:pPr>
      <w:r w:rsidRPr="00FE5EC6">
        <w:t>ACC provides a</w:t>
      </w:r>
      <w:r w:rsidR="001B25BD">
        <w:t xml:space="preserve"> national</w:t>
      </w:r>
      <w:r w:rsidR="001B25BD" w:rsidRPr="00FE5EC6">
        <w:t xml:space="preserve"> </w:t>
      </w:r>
      <w:r w:rsidRPr="00FE5EC6">
        <w:t xml:space="preserve">approach to ensure that disabled people </w:t>
      </w:r>
      <w:r>
        <w:t>have access to mobility devices locally.</w:t>
      </w:r>
    </w:p>
    <w:p w:rsidR="00064B7F" w:rsidRPr="00237D85" w:rsidRDefault="00064B7F" w:rsidP="00320CC4">
      <w:pPr>
        <w:pStyle w:val="CRPD-subsectionheading"/>
        <w:spacing w:line="240" w:lineRule="auto"/>
      </w:pPr>
      <w:r w:rsidRPr="00237D85">
        <w:lastRenderedPageBreak/>
        <w:t xml:space="preserve">ACC requires that all assessors and suppliers of mobility devices are aware of emerging technologies </w:t>
      </w:r>
      <w:r w:rsidR="003F63C2">
        <w:t xml:space="preserve">so that they become more commonly used. </w:t>
      </w:r>
    </w:p>
    <w:p w:rsidR="00064B7F" w:rsidRPr="00237D85" w:rsidRDefault="004F0260" w:rsidP="00320CC4">
      <w:pPr>
        <w:pStyle w:val="CRPD-subsectionheading"/>
        <w:spacing w:line="240" w:lineRule="auto"/>
      </w:pPr>
      <w:r>
        <w:t>In December 2018, a</w:t>
      </w:r>
      <w:r w:rsidR="00064B7F" w:rsidRPr="00237D85">
        <w:t xml:space="preserve"> </w:t>
      </w:r>
      <w:r w:rsidRPr="00237D85">
        <w:t xml:space="preserve">report </w:t>
      </w:r>
      <w:r>
        <w:t xml:space="preserve">was published </w:t>
      </w:r>
      <w:r w:rsidR="006E34A3">
        <w:t>about</w:t>
      </w:r>
      <w:r w:rsidR="00064B7F" w:rsidRPr="00237D85">
        <w:t xml:space="preserve"> the types of technology disabled people use and their views on funding frameworks and access pathways</w:t>
      </w:r>
      <w:r w:rsidR="00E52D33">
        <w:rPr>
          <w:rStyle w:val="FootnoteReference"/>
        </w:rPr>
        <w:footnoteReference w:id="167"/>
      </w:r>
      <w:r w:rsidR="00064B7F" w:rsidRPr="00237D85">
        <w:t>.</w:t>
      </w:r>
      <w:r w:rsidR="001248AE">
        <w:t xml:space="preserve"> </w:t>
      </w:r>
    </w:p>
    <w:p w:rsidR="00027302" w:rsidRPr="00EE3301" w:rsidRDefault="00027302" w:rsidP="00320CC4">
      <w:pPr>
        <w:pStyle w:val="CRPD-Questionstyle"/>
        <w:widowControl w:val="0"/>
        <w:spacing w:line="240" w:lineRule="auto"/>
        <w:rPr>
          <w:rFonts w:ascii="Times New Roman" w:hAnsi="Times New Roman"/>
          <w:sz w:val="28"/>
          <w:szCs w:val="24"/>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Freedom of expression and opinion, and access to information (art. 21)</w:t>
      </w:r>
    </w:p>
    <w:p w:rsidR="00064B7F" w:rsidRPr="00DA3F81" w:rsidRDefault="00064B7F" w:rsidP="00320CC4">
      <w:pPr>
        <w:pStyle w:val="CRPD-Questionstyle"/>
        <w:widowControl w:val="0"/>
        <w:spacing w:line="240" w:lineRule="auto"/>
        <w:rPr>
          <w:lang w:val="en-NZ"/>
        </w:rPr>
      </w:pPr>
      <w:r w:rsidRPr="00DA3F81">
        <w:rPr>
          <w:lang w:val="en-NZ"/>
        </w:rPr>
        <w:t>20.</w:t>
      </w:r>
      <w:r w:rsidRPr="00DA3F81">
        <w:rPr>
          <w:lang w:val="en-NZ"/>
        </w:rPr>
        <w:tab/>
      </w:r>
    </w:p>
    <w:p w:rsidR="00064B7F" w:rsidRPr="00DA3F81" w:rsidRDefault="00064B7F" w:rsidP="00320CC4">
      <w:pPr>
        <w:pStyle w:val="CRPD-Questionstyle"/>
        <w:widowControl w:val="0"/>
        <w:spacing w:line="240" w:lineRule="auto"/>
        <w:rPr>
          <w:lang w:val="en-NZ"/>
        </w:rPr>
      </w:pPr>
      <w:r w:rsidRPr="00DA3F81">
        <w:rPr>
          <w:lang w:val="en-NZ"/>
        </w:rPr>
        <w:tab/>
        <w:t>(a)</w:t>
      </w:r>
      <w:r w:rsidRPr="00DA3F81">
        <w:rPr>
          <w:lang w:val="en-NZ"/>
        </w:rPr>
        <w:tab/>
        <w:t xml:space="preserve">Increasing the funding for the training and employment of sufficient numbers of sign language interpreters, and increasing the use of </w:t>
      </w:r>
      <w:r w:rsidR="002D21E1">
        <w:rPr>
          <w:lang w:val="en-NZ"/>
        </w:rPr>
        <w:t>NZ</w:t>
      </w:r>
      <w:r w:rsidRPr="00DA3F81">
        <w:rPr>
          <w:lang w:val="en-NZ"/>
        </w:rPr>
        <w:t xml:space="preserve"> sign language in all aspects of life, including educational and cultural activities;</w:t>
      </w:r>
    </w:p>
    <w:p w:rsidR="009D6CEE" w:rsidRPr="00B12F46" w:rsidRDefault="00E52D33" w:rsidP="00320CC4">
      <w:pPr>
        <w:pStyle w:val="CRPD-subsectionheading"/>
        <w:spacing w:line="240" w:lineRule="auto"/>
      </w:pPr>
      <w:r>
        <w:t>In Budget 2018, s</w:t>
      </w:r>
      <w:r w:rsidR="009D6CEE">
        <w:t xml:space="preserve">ensory </w:t>
      </w:r>
      <w:r w:rsidR="009D6CEE" w:rsidRPr="00B12F46">
        <w:t xml:space="preserve">schools and </w:t>
      </w:r>
      <w:r>
        <w:t>NZ</w:t>
      </w:r>
      <w:r w:rsidR="00803D65">
        <w:t xml:space="preserve">SL </w:t>
      </w:r>
      <w:r w:rsidR="009D6CEE" w:rsidRPr="00B12F46">
        <w:t>received</w:t>
      </w:r>
      <w:r w:rsidR="009D6CEE">
        <w:t xml:space="preserve"> an extra $30.2 million </w:t>
      </w:r>
      <w:r>
        <w:t xml:space="preserve">for the next </w:t>
      </w:r>
      <w:r w:rsidR="009D6CEE">
        <w:t xml:space="preserve">four years. This will provide more funding for study </w:t>
      </w:r>
      <w:r>
        <w:t>awards for advisors on Deaf c</w:t>
      </w:r>
      <w:r w:rsidR="009D6CEE" w:rsidRPr="00267126">
        <w:t>hildren, NZ</w:t>
      </w:r>
      <w:r>
        <w:t>SL i</w:t>
      </w:r>
      <w:r w:rsidR="009D6CEE">
        <w:t xml:space="preserve">nterpreters and NZSL </w:t>
      </w:r>
      <w:r>
        <w:t>t</w:t>
      </w:r>
      <w:r w:rsidR="009D6CEE">
        <w:t>utors.</w:t>
      </w:r>
    </w:p>
    <w:p w:rsidR="0006720A" w:rsidRDefault="006E34A3" w:rsidP="00320CC4">
      <w:pPr>
        <w:pStyle w:val="CRPD-subsectionheading"/>
        <w:spacing w:line="240" w:lineRule="auto"/>
      </w:pPr>
      <w:r>
        <w:t>There</w:t>
      </w:r>
      <w:r w:rsidR="00E52D33">
        <w:t xml:space="preserve"> are not enough NZSL interpreters to meet demand. T</w:t>
      </w:r>
      <w:r w:rsidR="0006720A">
        <w:t xml:space="preserve">he </w:t>
      </w:r>
      <w:r w:rsidR="0006720A" w:rsidRPr="003C34E8">
        <w:t>current number of</w:t>
      </w:r>
      <w:r w:rsidR="00E52D33">
        <w:t xml:space="preserve"> </w:t>
      </w:r>
      <w:r w:rsidR="00E52D33" w:rsidRPr="00B12F46">
        <w:t>NZSL</w:t>
      </w:r>
      <w:r w:rsidR="0006720A">
        <w:t xml:space="preserve"> interpreter </w:t>
      </w:r>
      <w:r w:rsidR="0006720A" w:rsidRPr="003C34E8">
        <w:t>graduates replaces but does not expand the number of experienced interpreters available</w:t>
      </w:r>
      <w:r w:rsidR="0006720A" w:rsidRPr="00237D85">
        <w:t xml:space="preserve">. </w:t>
      </w:r>
      <w:r w:rsidR="00F02F81">
        <w:t>There are even less</w:t>
      </w:r>
      <w:r w:rsidR="0006720A">
        <w:t xml:space="preserve"> trilingual interpreters</w:t>
      </w:r>
      <w:r w:rsidR="00F02F81">
        <w:t xml:space="preserve"> available</w:t>
      </w:r>
      <w:r>
        <w:t xml:space="preserve"> who can </w:t>
      </w:r>
      <w:r w:rsidR="0006720A">
        <w:t>interpret between NZSL, English and Te Reo Māori</w:t>
      </w:r>
      <w:r w:rsidR="009B1549">
        <w:rPr>
          <w:rStyle w:val="FootnoteReference"/>
        </w:rPr>
        <w:footnoteReference w:id="168"/>
      </w:r>
      <w:r w:rsidR="0006720A">
        <w:t>.</w:t>
      </w:r>
    </w:p>
    <w:p w:rsidR="0006720A" w:rsidRPr="00571D07" w:rsidRDefault="0006720A" w:rsidP="00320CC4">
      <w:pPr>
        <w:pStyle w:val="CRPD-subsectionheading"/>
        <w:spacing w:line="240" w:lineRule="auto"/>
      </w:pPr>
      <w:r>
        <w:t xml:space="preserve">Funding to train </w:t>
      </w:r>
      <w:r w:rsidRPr="00F35CE0">
        <w:t>Deaf interpreters</w:t>
      </w:r>
      <w:r>
        <w:t>,</w:t>
      </w:r>
      <w:r w:rsidRPr="00F35CE0">
        <w:t xml:space="preserve"> with lived experience of being De</w:t>
      </w:r>
      <w:r>
        <w:t>af, is not available.</w:t>
      </w:r>
      <w:r w:rsidR="00F02F81">
        <w:t xml:space="preserve"> </w:t>
      </w:r>
    </w:p>
    <w:p w:rsidR="0006720A" w:rsidRPr="00571D07" w:rsidRDefault="0006720A" w:rsidP="00320CC4">
      <w:pPr>
        <w:pStyle w:val="CRPD-subsectionheading"/>
        <w:spacing w:line="240" w:lineRule="auto"/>
      </w:pPr>
      <w:r>
        <w:t>With</w:t>
      </w:r>
      <w:r w:rsidRPr="003C34E8">
        <w:t xml:space="preserve"> no national assess</w:t>
      </w:r>
      <w:r>
        <w:t>ment for NZSL fluency,</w:t>
      </w:r>
      <w:r w:rsidRPr="003C34E8">
        <w:t xml:space="preserve"> the quality of interpretation </w:t>
      </w:r>
      <w:r>
        <w:t xml:space="preserve">varies and demand pressure means the </w:t>
      </w:r>
      <w:r w:rsidRPr="003C34E8">
        <w:t>use of unqualified interpreters</w:t>
      </w:r>
      <w:r w:rsidRPr="00571D07">
        <w:t xml:space="preserve"> </w:t>
      </w:r>
      <w:r w:rsidRPr="003C34E8">
        <w:t>may increase.</w:t>
      </w:r>
      <w:r w:rsidRPr="00F35CE0">
        <w:rPr>
          <w:color w:val="000000"/>
        </w:rPr>
        <w:t xml:space="preserve"> </w:t>
      </w:r>
      <w:r>
        <w:rPr>
          <w:color w:val="000000"/>
        </w:rPr>
        <w:t>Government continues to receive feedback that access to qualified specialists fluent in NZSL</w:t>
      </w:r>
      <w:r w:rsidRPr="00547F20">
        <w:rPr>
          <w:color w:val="000000"/>
        </w:rPr>
        <w:t xml:space="preserve"> </w:t>
      </w:r>
      <w:r>
        <w:rPr>
          <w:color w:val="000000"/>
        </w:rPr>
        <w:t>is limited and varies geographically.</w:t>
      </w:r>
    </w:p>
    <w:p w:rsidR="0006720A" w:rsidRPr="00571D07" w:rsidRDefault="0006720A" w:rsidP="00320CC4">
      <w:pPr>
        <w:pStyle w:val="CRPD-subsectionheading"/>
        <w:spacing w:line="240" w:lineRule="auto"/>
      </w:pPr>
      <w:r>
        <w:t>Use of NZSL and d</w:t>
      </w:r>
      <w:r w:rsidRPr="003C34E8">
        <w:t xml:space="preserve">emand </w:t>
      </w:r>
      <w:r>
        <w:t>for</w:t>
      </w:r>
      <w:r w:rsidRPr="00E34C71">
        <w:t xml:space="preserve"> interpreting services</w:t>
      </w:r>
      <w:r w:rsidRPr="003C34E8">
        <w:t xml:space="preserve"> is </w:t>
      </w:r>
      <w:r>
        <w:t>increasing as</w:t>
      </w:r>
      <w:r w:rsidRPr="003C34E8">
        <w:t>:</w:t>
      </w:r>
    </w:p>
    <w:p w:rsidR="0006720A" w:rsidRPr="003C34E8" w:rsidRDefault="001E0984" w:rsidP="00320CC4">
      <w:pPr>
        <w:pStyle w:val="CRPDStateParty-bullets"/>
        <w:widowControl w:val="0"/>
        <w:spacing w:line="240" w:lineRule="auto"/>
      </w:pPr>
      <w:r>
        <w:t>p</w:t>
      </w:r>
      <w:r w:rsidR="0006720A">
        <w:t>ublic awareness and re</w:t>
      </w:r>
      <w:r>
        <w:t>cognition of NZSL is increasing</w:t>
      </w:r>
      <w:r w:rsidR="0006720A">
        <w:t xml:space="preserve"> </w:t>
      </w:r>
    </w:p>
    <w:p w:rsidR="0006720A" w:rsidRPr="001E0984" w:rsidRDefault="001E0984" w:rsidP="00320CC4">
      <w:pPr>
        <w:pStyle w:val="CRPDStateParty-bullets"/>
        <w:widowControl w:val="0"/>
        <w:spacing w:line="240" w:lineRule="auto"/>
      </w:pPr>
      <w:r>
        <w:lastRenderedPageBreak/>
        <w:t>g</w:t>
      </w:r>
      <w:r w:rsidR="0006720A" w:rsidRPr="001E0984">
        <w:t>overnment agency commitment to accessible informa</w:t>
      </w:r>
      <w:r w:rsidRPr="001E0984">
        <w:t>tion and services is increasing</w:t>
      </w:r>
    </w:p>
    <w:p w:rsidR="00F02F81" w:rsidRDefault="00F02F81" w:rsidP="00320CC4">
      <w:pPr>
        <w:pStyle w:val="CRPDStateParty-bullets"/>
        <w:widowControl w:val="0"/>
        <w:spacing w:line="240" w:lineRule="auto"/>
      </w:pPr>
      <w:r>
        <w:t>m</w:t>
      </w:r>
      <w:r w:rsidRPr="00E34C71">
        <w:t xml:space="preserve">ore schools are </w:t>
      </w:r>
      <w:r>
        <w:t>offering</w:t>
      </w:r>
      <w:r w:rsidRPr="00E34C71">
        <w:t xml:space="preserve"> NZSL </w:t>
      </w:r>
      <w:r>
        <w:t xml:space="preserve">as a </w:t>
      </w:r>
      <w:r w:rsidRPr="003C34E8">
        <w:t>subject</w:t>
      </w:r>
      <w:r>
        <w:t xml:space="preserve"> and new services are </w:t>
      </w:r>
      <w:r w:rsidRPr="003C34E8">
        <w:t>strengthen</w:t>
      </w:r>
      <w:r>
        <w:t>ing</w:t>
      </w:r>
      <w:r w:rsidRPr="003C34E8">
        <w:t xml:space="preserve"> access to NZSL</w:t>
      </w:r>
      <w:r>
        <w:t xml:space="preserve"> tutors and interpreters</w:t>
      </w:r>
      <w:r w:rsidRPr="003C34E8">
        <w:t xml:space="preserve"> for </w:t>
      </w:r>
      <w:r>
        <w:t>families with a deaf pre-school child and for d</w:t>
      </w:r>
      <w:r w:rsidRPr="003C34E8">
        <w:t>eaf students in classrooms.</w:t>
      </w:r>
    </w:p>
    <w:p w:rsidR="001E0984" w:rsidRPr="001E0984" w:rsidRDefault="00F02F81" w:rsidP="00320CC4">
      <w:pPr>
        <w:pStyle w:val="CRPD-subsectionheading"/>
        <w:spacing w:line="240" w:lineRule="auto"/>
      </w:pPr>
      <w:r>
        <w:t xml:space="preserve">The introduction of </w:t>
      </w:r>
      <w:r w:rsidR="001E0984">
        <w:t>i</w:t>
      </w:r>
      <w:r w:rsidR="001E0984" w:rsidRPr="001E0984">
        <w:t xml:space="preserve">ndividualised funding and the rollout of the disability support system transformation </w:t>
      </w:r>
      <w:r>
        <w:t>will also have an effect on interpreting demand.</w:t>
      </w:r>
    </w:p>
    <w:p w:rsidR="00064B7F" w:rsidRPr="00237D85" w:rsidRDefault="00064B7F" w:rsidP="00320CC4">
      <w:pPr>
        <w:pStyle w:val="CRPD-Questionstyle"/>
        <w:widowControl w:val="0"/>
        <w:spacing w:line="240" w:lineRule="auto"/>
        <w:ind w:firstLine="567"/>
        <w:rPr>
          <w:lang w:val="en-NZ"/>
        </w:rPr>
      </w:pPr>
      <w:r w:rsidRPr="00237D85">
        <w:rPr>
          <w:lang w:val="en-NZ"/>
        </w:rPr>
        <w:t>(b)</w:t>
      </w:r>
      <w:r w:rsidRPr="00237D85">
        <w:rPr>
          <w:lang w:val="en-NZ"/>
        </w:rPr>
        <w:tab/>
        <w:t>Funding allocation to ensure accessibility to information in all spheres for Māori and Pacific disabled people, especially those with hearing and visual impairments;</w:t>
      </w:r>
    </w:p>
    <w:p w:rsidR="009D6CEE" w:rsidRDefault="009D6CEE" w:rsidP="00320CC4">
      <w:pPr>
        <w:pStyle w:val="CRPD-subsectionheading"/>
        <w:spacing w:line="240" w:lineRule="auto"/>
      </w:pPr>
      <w:r w:rsidRPr="000134E2">
        <w:t xml:space="preserve">The </w:t>
      </w:r>
      <w:r w:rsidRPr="009D6CEE">
        <w:rPr>
          <w:i/>
        </w:rPr>
        <w:t>NZSL Board Strategy 2018-2023</w:t>
      </w:r>
      <w:r w:rsidRPr="000134E2">
        <w:t xml:space="preserve"> </w:t>
      </w:r>
      <w:r w:rsidRPr="000C1577">
        <w:t>directs allocation of $1.25m contestable annual funding across its five language planning priorities</w:t>
      </w:r>
      <w:r w:rsidR="00CB576C">
        <w:t>. These five priorities i</w:t>
      </w:r>
      <w:r w:rsidRPr="000C1577">
        <w:t>nclude the needs</w:t>
      </w:r>
      <w:r w:rsidR="00CB576C">
        <w:t xml:space="preserve"> of </w:t>
      </w:r>
      <w:r w:rsidR="006E34A3">
        <w:t xml:space="preserve">Deaf </w:t>
      </w:r>
      <w:r w:rsidR="00CB576C">
        <w:t>Māori and Pacific people.</w:t>
      </w:r>
    </w:p>
    <w:p w:rsidR="00064B7F" w:rsidRDefault="00064B7F" w:rsidP="00320CC4">
      <w:pPr>
        <w:pStyle w:val="CRPD-subsectionheading"/>
        <w:spacing w:line="240" w:lineRule="auto"/>
      </w:pPr>
      <w:r w:rsidRPr="00237D85">
        <w:t xml:space="preserve">Funding for accessible information is provided through government funding baselines. </w:t>
      </w:r>
      <w:r w:rsidR="00F20EB3" w:rsidRPr="00237D85">
        <w:t xml:space="preserve">There is no specific funding allocation to ensure accessibility to information in all </w:t>
      </w:r>
      <w:r w:rsidR="00F02F81">
        <w:t>areas</w:t>
      </w:r>
      <w:r w:rsidR="00F20EB3" w:rsidRPr="00237D85">
        <w:t xml:space="preserve"> for </w:t>
      </w:r>
      <w:r w:rsidR="006E34A3">
        <w:t xml:space="preserve">disabled </w:t>
      </w:r>
      <w:r w:rsidR="00F20EB3" w:rsidRPr="00237D85">
        <w:t>Māori and Pacific people.</w:t>
      </w:r>
      <w:r w:rsidR="00DA3F81">
        <w:t xml:space="preserve"> </w:t>
      </w:r>
      <w:r w:rsidR="00CC6638" w:rsidRPr="00237D85">
        <w:t>See</w:t>
      </w:r>
      <w:r w:rsidR="001248AE">
        <w:t xml:space="preserve"> </w:t>
      </w:r>
      <w:r w:rsidR="00A96E48">
        <w:t>question</w:t>
      </w:r>
      <w:r w:rsidR="00CC6638" w:rsidRPr="00237D85">
        <w:t xml:space="preserve"> 20(d).</w:t>
      </w:r>
    </w:p>
    <w:p w:rsidR="00064B7F" w:rsidRPr="00237D85" w:rsidRDefault="00064B7F" w:rsidP="00320CC4">
      <w:pPr>
        <w:pStyle w:val="CRPD-Questionstyle"/>
        <w:widowControl w:val="0"/>
        <w:spacing w:line="240" w:lineRule="auto"/>
        <w:rPr>
          <w:lang w:val="en-NZ"/>
        </w:rPr>
      </w:pPr>
      <w:r w:rsidRPr="00237D85">
        <w:rPr>
          <w:lang w:val="en-NZ"/>
        </w:rPr>
        <w:tab/>
        <w:t>(c)</w:t>
      </w:r>
      <w:r w:rsidRPr="00237D85">
        <w:rPr>
          <w:lang w:val="en-NZ"/>
        </w:rPr>
        <w:tab/>
        <w:t xml:space="preserve">Plans to make accessibility to information legally binding; </w:t>
      </w:r>
    </w:p>
    <w:p w:rsidR="00050A1A" w:rsidRDefault="00050A1A" w:rsidP="00320CC4">
      <w:pPr>
        <w:pStyle w:val="CRPD-subsectionheading"/>
        <w:spacing w:line="240" w:lineRule="auto"/>
      </w:pPr>
      <w:r w:rsidRPr="00F02F81">
        <w:t>The Accessibility Charter (see question 20(d)) is</w:t>
      </w:r>
      <w:r>
        <w:t xml:space="preserve"> the alternative mechanism to achieve this. </w:t>
      </w:r>
    </w:p>
    <w:p w:rsidR="00050A1A" w:rsidRPr="00237D85" w:rsidRDefault="00050A1A" w:rsidP="00320CC4">
      <w:pPr>
        <w:pStyle w:val="CRPD-subsectionheading"/>
        <w:spacing w:line="240" w:lineRule="auto"/>
      </w:pPr>
      <w:r>
        <w:t xml:space="preserve">However, Cabinet has agreed to “commence the design of an approach to achieve a fully accessible NZ, in collaboration with key stakeholders”. </w:t>
      </w:r>
      <w:r w:rsidRPr="00DD3EE4">
        <w:t xml:space="preserve">Work is </w:t>
      </w:r>
      <w:r>
        <w:t xml:space="preserve">currently </w:t>
      </w:r>
      <w:r w:rsidRPr="00DD3EE4">
        <w:t>underway to consider options, which</w:t>
      </w:r>
      <w:r>
        <w:t xml:space="preserve"> </w:t>
      </w:r>
      <w:r w:rsidRPr="00DD3EE4">
        <w:t>include</w:t>
      </w:r>
      <w:r>
        <w:t>s</w:t>
      </w:r>
      <w:r w:rsidRPr="00DD3EE4">
        <w:t xml:space="preserve"> the possibility of introducing legislation. </w:t>
      </w:r>
    </w:p>
    <w:p w:rsidR="00064B7F" w:rsidRPr="00237D85" w:rsidRDefault="00050A1A" w:rsidP="00320CC4">
      <w:pPr>
        <w:pStyle w:val="CRPD-Questionstyle"/>
        <w:widowControl w:val="0"/>
        <w:spacing w:line="240" w:lineRule="auto"/>
        <w:ind w:firstLine="396"/>
        <w:rPr>
          <w:lang w:val="en-NZ"/>
        </w:rPr>
      </w:pPr>
      <w:r w:rsidRPr="00237D85">
        <w:rPr>
          <w:lang w:val="en-NZ"/>
        </w:rPr>
        <w:t xml:space="preserve"> </w:t>
      </w:r>
      <w:r w:rsidR="00064B7F" w:rsidRPr="00237D85">
        <w:rPr>
          <w:lang w:val="en-NZ"/>
        </w:rPr>
        <w:t>(d)</w:t>
      </w:r>
      <w:r w:rsidR="00064B7F" w:rsidRPr="00237D85">
        <w:rPr>
          <w:lang w:val="en-NZ"/>
        </w:rPr>
        <w:tab/>
        <w:t>Efforts to ensure that persons with disabilities have access to information via accessible modes, means and formats of information and communication, such as Braille, Easy-Read, audio description and captioning, including for television content, websites, apps, touch-screen devices and other digital products and services, according to their requirements and preferences, and to enable to express their opinion;</w:t>
      </w:r>
    </w:p>
    <w:p w:rsidR="00F20EB3" w:rsidRPr="00AC4473" w:rsidRDefault="00F20EB3" w:rsidP="00320CC4">
      <w:pPr>
        <w:pStyle w:val="CRPD-subsectionheading"/>
        <w:spacing w:line="240" w:lineRule="auto"/>
      </w:pPr>
      <w:r w:rsidRPr="00237D85">
        <w:lastRenderedPageBreak/>
        <w:t xml:space="preserve">The </w:t>
      </w:r>
      <w:r w:rsidR="00DA3F81">
        <w:t>Government has</w:t>
      </w:r>
      <w:r w:rsidR="00AC4473">
        <w:t xml:space="preserve"> launched an Accessibility Charter</w:t>
      </w:r>
      <w:r w:rsidR="00CB576C">
        <w:t>,</w:t>
      </w:r>
      <w:r w:rsidR="00AC4473">
        <w:t xml:space="preserve"> which is a</w:t>
      </w:r>
      <w:r w:rsidR="00C511A0">
        <w:t xml:space="preserve"> commit</w:t>
      </w:r>
      <w:r w:rsidR="00AC4473">
        <w:t xml:space="preserve">ment for Government </w:t>
      </w:r>
      <w:r w:rsidR="00C511A0">
        <w:t>to</w:t>
      </w:r>
      <w:r w:rsidR="00C511A0" w:rsidRPr="00237D85">
        <w:t xml:space="preserve"> make </w:t>
      </w:r>
      <w:r w:rsidR="004F4C51">
        <w:t xml:space="preserve">public </w:t>
      </w:r>
      <w:r w:rsidR="00C511A0" w:rsidRPr="00237D85">
        <w:t xml:space="preserve">information more accessible </w:t>
      </w:r>
      <w:r w:rsidR="00C511A0">
        <w:t>for</w:t>
      </w:r>
      <w:r w:rsidR="00C511A0" w:rsidRPr="00237D85">
        <w:t xml:space="preserve"> disabled people</w:t>
      </w:r>
      <w:r w:rsidR="00D03827">
        <w:rPr>
          <w:rStyle w:val="FootnoteReference"/>
        </w:rPr>
        <w:footnoteReference w:id="169"/>
      </w:r>
      <w:r w:rsidR="00C511A0">
        <w:t>. This work was a co-operative venture with the DPO Coalition</w:t>
      </w:r>
      <w:r w:rsidR="00C511A0">
        <w:rPr>
          <w:rStyle w:val="FootnoteReference"/>
        </w:rPr>
        <w:footnoteReference w:id="170"/>
      </w:r>
      <w:r w:rsidR="00C511A0">
        <w:t xml:space="preserve">. </w:t>
      </w:r>
      <w:r w:rsidR="006E34A3">
        <w:t>So far, 37</w:t>
      </w:r>
      <w:r w:rsidR="004F4C51">
        <w:t xml:space="preserve"> government agencies (out of 39</w:t>
      </w:r>
      <w:r w:rsidR="00DA3F81" w:rsidRPr="00AC4473">
        <w:t>)</w:t>
      </w:r>
      <w:r w:rsidR="00F02F81">
        <w:t xml:space="preserve"> </w:t>
      </w:r>
      <w:r w:rsidR="00DA3F81" w:rsidRPr="00AC4473">
        <w:t>have signed the Accessibility Charter</w:t>
      </w:r>
      <w:r w:rsidR="0077004E" w:rsidRPr="00AC4473">
        <w:t xml:space="preserve">. This mandates staff to work towards an accessible environment. Resources are available to assist staff to know who to contact and the standards for providing material in various formats. </w:t>
      </w:r>
    </w:p>
    <w:p w:rsidR="00064B7F" w:rsidRDefault="00F20EB3" w:rsidP="00320CC4">
      <w:pPr>
        <w:pStyle w:val="CRPD-subsectionheading"/>
        <w:spacing w:line="240" w:lineRule="auto"/>
      </w:pPr>
      <w:r w:rsidRPr="00237D85">
        <w:t>The initial focus is on building</w:t>
      </w:r>
      <w:r w:rsidR="00CB576C">
        <w:t xml:space="preserve"> the capability for use of Easy</w:t>
      </w:r>
      <w:r w:rsidRPr="00237D85">
        <w:t xml:space="preserve">Read, Braille, </w:t>
      </w:r>
      <w:r w:rsidR="002D21E1">
        <w:t>NZSL</w:t>
      </w:r>
      <w:r w:rsidR="009C2467" w:rsidRPr="00237D85">
        <w:t xml:space="preserve"> and audio</w:t>
      </w:r>
      <w:r w:rsidRPr="00237D85">
        <w:t xml:space="preserve">. It is expected that increasing the availability of government information in these languages and formats will make it easier for more disabled people to understand and use the information directly. </w:t>
      </w:r>
    </w:p>
    <w:p w:rsidR="00572B59" w:rsidRDefault="00572B59" w:rsidP="00320CC4">
      <w:pPr>
        <w:pStyle w:val="CRPD-subsectionheading"/>
        <w:spacing w:line="240" w:lineRule="auto"/>
      </w:pPr>
      <w:r>
        <w:t xml:space="preserve">The Government funds </w:t>
      </w:r>
      <w:r w:rsidR="006E34A3">
        <w:t xml:space="preserve">television </w:t>
      </w:r>
      <w:r>
        <w:t xml:space="preserve">captioning and audio description at $2.8 million per year. </w:t>
      </w:r>
      <w:r w:rsidR="006E34A3">
        <w:t>T</w:t>
      </w:r>
      <w:r>
        <w:t>he Government is developing policy to increase levels of cap</w:t>
      </w:r>
      <w:r w:rsidR="006E34A3">
        <w:t>tioning and audio description following recommendations from</w:t>
      </w:r>
      <w:r>
        <w:t xml:space="preserve"> </w:t>
      </w:r>
      <w:r w:rsidR="006E34A3">
        <w:t xml:space="preserve">the </w:t>
      </w:r>
      <w:r w:rsidR="006E34A3" w:rsidRPr="00F02F81">
        <w:rPr>
          <w:i/>
        </w:rPr>
        <w:t>Inquiry into Captioning</w:t>
      </w:r>
      <w:r w:rsidR="006E34A3">
        <w:rPr>
          <w:i/>
        </w:rPr>
        <w:t xml:space="preserve"> in NZ</w:t>
      </w:r>
      <w:r w:rsidR="006E34A3">
        <w:rPr>
          <w:rStyle w:val="FootnoteReference"/>
        </w:rPr>
        <w:footnoteReference w:id="171"/>
      </w:r>
      <w:r w:rsidR="006E34A3">
        <w:t xml:space="preserve"> (August 2017).</w:t>
      </w:r>
    </w:p>
    <w:p w:rsidR="00B161BE" w:rsidRPr="00F02F81" w:rsidRDefault="00B161BE" w:rsidP="00320CC4">
      <w:pPr>
        <w:pStyle w:val="CRPD-subsectionheading"/>
        <w:spacing w:line="240" w:lineRule="auto"/>
      </w:pPr>
      <w:r w:rsidRPr="009D6CEE">
        <w:rPr>
          <w:i/>
        </w:rPr>
        <w:t>The Copyright (Marrakesh Treaty Implementation) Amendment Bill</w:t>
      </w:r>
      <w:r>
        <w:t xml:space="preserve"> will amend the </w:t>
      </w:r>
      <w:r w:rsidRPr="009D6CEE">
        <w:rPr>
          <w:i/>
        </w:rPr>
        <w:t>Copyright Act 1994</w:t>
      </w:r>
      <w:r>
        <w:t xml:space="preserve"> to allow </w:t>
      </w:r>
      <w:r w:rsidR="002D21E1">
        <w:t>NZ</w:t>
      </w:r>
      <w:r>
        <w:t xml:space="preserve"> to </w:t>
      </w:r>
      <w:r w:rsidR="009D6CEE">
        <w:t>accede to the Marrakesh Treaty.</w:t>
      </w:r>
      <w:r>
        <w:t xml:space="preserve"> The Bill, if passed in its present form, would e</w:t>
      </w:r>
      <w:r w:rsidRPr="00F02F81">
        <w:t xml:space="preserve">nable </w:t>
      </w:r>
      <w:r w:rsidR="00CB576C" w:rsidRPr="00F02F81">
        <w:t>persons with a print disability</w:t>
      </w:r>
      <w:r w:rsidRPr="00F02F81">
        <w:t xml:space="preserve"> and persons acting on their behalf, to make accessible format copies of copyright works without the permission of the copyright owner. These copies may also be provided to an “authorised entity” in </w:t>
      </w:r>
      <w:r w:rsidR="002D21E1" w:rsidRPr="00F02F81">
        <w:t>NZ</w:t>
      </w:r>
      <w:r w:rsidRPr="00F02F81">
        <w:t>.</w:t>
      </w:r>
    </w:p>
    <w:p w:rsidR="00027302" w:rsidRPr="00F02F81" w:rsidRDefault="00F20EB3" w:rsidP="00320CC4">
      <w:pPr>
        <w:pStyle w:val="CRPD-subsectionheading"/>
        <w:spacing w:line="240" w:lineRule="auto"/>
      </w:pPr>
      <w:r w:rsidRPr="00F02F81">
        <w:t xml:space="preserve">See </w:t>
      </w:r>
      <w:r w:rsidR="00A96E48" w:rsidRPr="00F02F81">
        <w:t>question</w:t>
      </w:r>
      <w:r w:rsidRPr="00F02F81">
        <w:t xml:space="preserve"> 20</w:t>
      </w:r>
      <w:r w:rsidR="00F02F81">
        <w:t>(e).</w:t>
      </w:r>
    </w:p>
    <w:p w:rsidR="00064B7F" w:rsidRPr="00237D85" w:rsidRDefault="00064B7F" w:rsidP="00320CC4">
      <w:pPr>
        <w:pStyle w:val="CRPD-Questionstyle"/>
        <w:widowControl w:val="0"/>
        <w:spacing w:line="240" w:lineRule="auto"/>
        <w:rPr>
          <w:lang w:val="en-NZ"/>
        </w:rPr>
      </w:pPr>
      <w:r w:rsidRPr="00237D85">
        <w:rPr>
          <w:lang w:val="en-NZ"/>
        </w:rPr>
        <w:tab/>
        <w:t>(e)</w:t>
      </w:r>
      <w:r w:rsidRPr="00237D85">
        <w:rPr>
          <w:lang w:val="en-NZ"/>
        </w:rPr>
        <w:tab/>
        <w:t>Measures taken to ensure that legal entities that have not fully met the Web Accessibility Standards do so;</w:t>
      </w:r>
    </w:p>
    <w:p w:rsidR="00870FE0" w:rsidRDefault="00870FE0" w:rsidP="00320CC4">
      <w:pPr>
        <w:pStyle w:val="CRPD-subsectionheading"/>
        <w:spacing w:line="240" w:lineRule="auto"/>
      </w:pPr>
      <w:r>
        <w:lastRenderedPageBreak/>
        <w:t>Compliance with the Web Accessibility Standards was mandated by Cabinet in 2003</w:t>
      </w:r>
      <w:r w:rsidRPr="00237D85">
        <w:rPr>
          <w:rStyle w:val="FootnoteReference"/>
        </w:rPr>
        <w:footnoteReference w:id="172"/>
      </w:r>
      <w:r w:rsidR="004F4C51">
        <w:t xml:space="preserve"> for g</w:t>
      </w:r>
      <w:r>
        <w:t>overnment agencies. The Department of Internal Affairs monitors compliance. In 2014/15</w:t>
      </w:r>
      <w:r w:rsidR="006E34A3">
        <w:t>,</w:t>
      </w:r>
      <w:r>
        <w:t xml:space="preserve"> </w:t>
      </w:r>
      <w:r w:rsidR="006E34A3">
        <w:t xml:space="preserve">government </w:t>
      </w:r>
      <w:r>
        <w:t>agencies were directed to self-assess their websites against the Web Accessibility Standards and report back. The purpose was to establish current-state agency compliance, and set a baseline for improvement. Full compliance was expected by 2017, and supported by a follow-up round of self-assessments in 2017/18.</w:t>
      </w:r>
    </w:p>
    <w:p w:rsidR="00870FE0" w:rsidRDefault="00870FE0" w:rsidP="00320CC4">
      <w:pPr>
        <w:pStyle w:val="CRPD-subsectionheading"/>
        <w:spacing w:line="240" w:lineRule="auto"/>
      </w:pPr>
      <w:r>
        <w:t xml:space="preserve">As a result of conducting the 2014/15 </w:t>
      </w:r>
      <w:r w:rsidR="006E34A3">
        <w:t>self-a</w:t>
      </w:r>
      <w:r>
        <w:t>ssessments, an agenc</w:t>
      </w:r>
      <w:r w:rsidR="006E34A3">
        <w:t>y support model was implemented with workshops, guidance, a community of expertise, a common web platform and a web services panel.</w:t>
      </w:r>
      <w:r>
        <w:t xml:space="preserve"> </w:t>
      </w:r>
    </w:p>
    <w:p w:rsidR="00870FE0" w:rsidRDefault="004F4C51" w:rsidP="00320CC4">
      <w:pPr>
        <w:pStyle w:val="CRPD-subsectionheading"/>
        <w:spacing w:line="240" w:lineRule="auto"/>
      </w:pPr>
      <w:r>
        <w:t xml:space="preserve">In 2017/18, the self-assessment programme </w:t>
      </w:r>
      <w:r w:rsidR="006E34A3">
        <w:t xml:space="preserve">was repeated </w:t>
      </w:r>
      <w:r w:rsidR="00870FE0">
        <w:t>to assess compliance and inform future compliance support actions.</w:t>
      </w:r>
    </w:p>
    <w:p w:rsidR="00064B7F" w:rsidRPr="00237D85" w:rsidRDefault="00064B7F" w:rsidP="00320CC4">
      <w:pPr>
        <w:pStyle w:val="CRPD-Questionstyle"/>
        <w:widowControl w:val="0"/>
        <w:spacing w:line="240" w:lineRule="auto"/>
        <w:rPr>
          <w:lang w:val="en-NZ"/>
        </w:rPr>
      </w:pPr>
      <w:r w:rsidRPr="00237D85">
        <w:rPr>
          <w:lang w:val="en-NZ"/>
        </w:rPr>
        <w:tab/>
        <w:t>(f)</w:t>
      </w:r>
      <w:r w:rsidRPr="00237D85">
        <w:rPr>
          <w:lang w:val="en-NZ"/>
        </w:rPr>
        <w:tab/>
        <w:t>Measures and strategies for adaptive procurement and investment for assistive technologies.</w:t>
      </w:r>
    </w:p>
    <w:p w:rsidR="004236AA" w:rsidRDefault="00BD219F" w:rsidP="00320CC4">
      <w:pPr>
        <w:pStyle w:val="CRPD-subsectionheading"/>
        <w:spacing w:line="240" w:lineRule="auto"/>
      </w:pPr>
      <w:r>
        <w:t>The</w:t>
      </w:r>
      <w:r w:rsidR="004236AA">
        <w:t xml:space="preserve"> Government </w:t>
      </w:r>
      <w:r w:rsidR="00D06F37">
        <w:t>provide</w:t>
      </w:r>
      <w:r>
        <w:t>s procurement</w:t>
      </w:r>
      <w:r w:rsidR="00D06F37">
        <w:t xml:space="preserve"> templates (</w:t>
      </w:r>
      <w:r w:rsidR="00B70EBF">
        <w:t>including</w:t>
      </w:r>
      <w:r>
        <w:t xml:space="preserve"> the</w:t>
      </w:r>
      <w:r w:rsidR="00D06F37">
        <w:t xml:space="preserve"> Outcome Agreement template and Management Plan template) to support adaptive procurement of assistive technologies by government agencies. </w:t>
      </w:r>
    </w:p>
    <w:p w:rsidR="009C458B" w:rsidRDefault="009C458B" w:rsidP="00320CC4">
      <w:pPr>
        <w:pStyle w:val="CRPD-Questionstyle"/>
        <w:spacing w:line="240" w:lineRule="auto"/>
      </w:pPr>
      <w:r>
        <w:t>Table: funding for assistive technologies</w:t>
      </w:r>
    </w:p>
    <w:tbl>
      <w:tblPr>
        <w:tblStyle w:val="TableGridLight1"/>
        <w:tblW w:w="4298" w:type="pct"/>
        <w:tblInd w:w="1384" w:type="dxa"/>
        <w:tblLook w:val="04A0" w:firstRow="1" w:lastRow="0" w:firstColumn="1" w:lastColumn="0" w:noHBand="0" w:noVBand="1"/>
      </w:tblPr>
      <w:tblGrid>
        <w:gridCol w:w="2835"/>
        <w:gridCol w:w="1418"/>
        <w:gridCol w:w="1406"/>
        <w:gridCol w:w="1406"/>
        <w:gridCol w:w="1406"/>
      </w:tblGrid>
      <w:tr w:rsidR="0042777A" w:rsidRPr="0042777A" w:rsidTr="0042777A">
        <w:tc>
          <w:tcPr>
            <w:tcW w:w="1673" w:type="pct"/>
          </w:tcPr>
          <w:p w:rsidR="00D03827" w:rsidRPr="0042777A" w:rsidRDefault="00D03827" w:rsidP="00320CC4">
            <w:pPr>
              <w:pStyle w:val="NoSpacing"/>
              <w:spacing w:line="240" w:lineRule="auto"/>
              <w:rPr>
                <w:b/>
                <w:sz w:val="24"/>
                <w:szCs w:val="24"/>
              </w:rPr>
            </w:pPr>
          </w:p>
        </w:tc>
        <w:tc>
          <w:tcPr>
            <w:tcW w:w="837" w:type="pct"/>
          </w:tcPr>
          <w:p w:rsidR="00D03827" w:rsidRPr="0042777A" w:rsidRDefault="00D03827" w:rsidP="00320CC4">
            <w:pPr>
              <w:pStyle w:val="NoSpacing"/>
              <w:spacing w:line="240" w:lineRule="auto"/>
              <w:rPr>
                <w:b/>
                <w:sz w:val="24"/>
                <w:szCs w:val="24"/>
              </w:rPr>
            </w:pPr>
            <w:r w:rsidRPr="0042777A">
              <w:rPr>
                <w:b/>
                <w:sz w:val="24"/>
                <w:szCs w:val="24"/>
              </w:rPr>
              <w:t>2014/15</w:t>
            </w:r>
          </w:p>
        </w:tc>
        <w:tc>
          <w:tcPr>
            <w:tcW w:w="830" w:type="pct"/>
          </w:tcPr>
          <w:p w:rsidR="00D03827" w:rsidRPr="0042777A" w:rsidRDefault="00D03827" w:rsidP="00320CC4">
            <w:pPr>
              <w:pStyle w:val="NoSpacing"/>
              <w:spacing w:line="240" w:lineRule="auto"/>
              <w:rPr>
                <w:b/>
                <w:sz w:val="24"/>
                <w:szCs w:val="24"/>
              </w:rPr>
            </w:pPr>
            <w:r w:rsidRPr="0042777A">
              <w:rPr>
                <w:b/>
                <w:sz w:val="24"/>
                <w:szCs w:val="24"/>
              </w:rPr>
              <w:t>2015/16</w:t>
            </w:r>
          </w:p>
        </w:tc>
        <w:tc>
          <w:tcPr>
            <w:tcW w:w="830" w:type="pct"/>
          </w:tcPr>
          <w:p w:rsidR="00D03827" w:rsidRPr="0042777A" w:rsidRDefault="00D03827" w:rsidP="00320CC4">
            <w:pPr>
              <w:pStyle w:val="NoSpacing"/>
              <w:spacing w:line="240" w:lineRule="auto"/>
              <w:rPr>
                <w:b/>
                <w:sz w:val="24"/>
                <w:szCs w:val="24"/>
              </w:rPr>
            </w:pPr>
            <w:r w:rsidRPr="0042777A">
              <w:rPr>
                <w:b/>
                <w:sz w:val="24"/>
                <w:szCs w:val="24"/>
              </w:rPr>
              <w:t>2016/17</w:t>
            </w:r>
          </w:p>
        </w:tc>
        <w:tc>
          <w:tcPr>
            <w:tcW w:w="830" w:type="pct"/>
          </w:tcPr>
          <w:p w:rsidR="00D03827" w:rsidRPr="0042777A" w:rsidRDefault="00D03827" w:rsidP="00320CC4">
            <w:pPr>
              <w:pStyle w:val="NoSpacing"/>
              <w:spacing w:line="240" w:lineRule="auto"/>
              <w:rPr>
                <w:b/>
                <w:sz w:val="24"/>
                <w:szCs w:val="24"/>
              </w:rPr>
            </w:pPr>
            <w:r w:rsidRPr="0042777A">
              <w:rPr>
                <w:b/>
                <w:sz w:val="24"/>
                <w:szCs w:val="24"/>
              </w:rPr>
              <w:t>2017/18</w:t>
            </w:r>
          </w:p>
        </w:tc>
      </w:tr>
      <w:tr w:rsidR="0042777A" w:rsidRPr="0042777A" w:rsidTr="0042777A">
        <w:tc>
          <w:tcPr>
            <w:tcW w:w="1673" w:type="pct"/>
          </w:tcPr>
          <w:p w:rsidR="00D03827" w:rsidRPr="0042777A" w:rsidRDefault="00D03827" w:rsidP="00320CC4">
            <w:pPr>
              <w:pStyle w:val="NoSpacing"/>
              <w:spacing w:line="240" w:lineRule="auto"/>
              <w:rPr>
                <w:sz w:val="24"/>
                <w:szCs w:val="24"/>
              </w:rPr>
            </w:pPr>
            <w:r w:rsidRPr="0042777A">
              <w:rPr>
                <w:sz w:val="24"/>
                <w:szCs w:val="24"/>
              </w:rPr>
              <w:t>Funding for rehabilitation equipment, artificial limbs and audiology technology (ACC-funded)</w:t>
            </w:r>
          </w:p>
        </w:tc>
        <w:tc>
          <w:tcPr>
            <w:tcW w:w="837" w:type="pct"/>
          </w:tcPr>
          <w:p w:rsidR="00D03827" w:rsidRPr="0042777A" w:rsidRDefault="00D03827" w:rsidP="00320CC4">
            <w:pPr>
              <w:pStyle w:val="NoSpacing"/>
              <w:spacing w:line="240" w:lineRule="auto"/>
              <w:rPr>
                <w:sz w:val="24"/>
                <w:szCs w:val="24"/>
              </w:rPr>
            </w:pPr>
            <w:r w:rsidRPr="0042777A">
              <w:rPr>
                <w:sz w:val="24"/>
                <w:szCs w:val="24"/>
              </w:rPr>
              <w:t>$58.9m</w:t>
            </w:r>
          </w:p>
        </w:tc>
        <w:tc>
          <w:tcPr>
            <w:tcW w:w="830" w:type="pct"/>
          </w:tcPr>
          <w:p w:rsidR="00D03827" w:rsidRPr="0042777A" w:rsidRDefault="00D03827" w:rsidP="00320CC4">
            <w:pPr>
              <w:pStyle w:val="NoSpacing"/>
              <w:spacing w:line="240" w:lineRule="auto"/>
              <w:rPr>
                <w:sz w:val="24"/>
                <w:szCs w:val="24"/>
              </w:rPr>
            </w:pPr>
            <w:r w:rsidRPr="0042777A">
              <w:rPr>
                <w:sz w:val="24"/>
                <w:szCs w:val="24"/>
              </w:rPr>
              <w:t>$66.9m</w:t>
            </w:r>
          </w:p>
        </w:tc>
        <w:tc>
          <w:tcPr>
            <w:tcW w:w="830" w:type="pct"/>
          </w:tcPr>
          <w:p w:rsidR="00D03827" w:rsidRPr="0042777A" w:rsidRDefault="00D03827" w:rsidP="00320CC4">
            <w:pPr>
              <w:pStyle w:val="NoSpacing"/>
              <w:spacing w:line="240" w:lineRule="auto"/>
              <w:rPr>
                <w:sz w:val="24"/>
                <w:szCs w:val="24"/>
              </w:rPr>
            </w:pPr>
            <w:r w:rsidRPr="0042777A">
              <w:rPr>
                <w:sz w:val="24"/>
                <w:szCs w:val="24"/>
              </w:rPr>
              <w:t>$73.5m</w:t>
            </w:r>
          </w:p>
        </w:tc>
        <w:tc>
          <w:tcPr>
            <w:tcW w:w="830" w:type="pct"/>
          </w:tcPr>
          <w:p w:rsidR="00D03827" w:rsidRPr="0042777A" w:rsidRDefault="00D03827" w:rsidP="00320CC4">
            <w:pPr>
              <w:pStyle w:val="NoSpacing"/>
              <w:spacing w:line="240" w:lineRule="auto"/>
              <w:rPr>
                <w:sz w:val="24"/>
                <w:szCs w:val="24"/>
              </w:rPr>
            </w:pPr>
            <w:r w:rsidRPr="0042777A">
              <w:rPr>
                <w:sz w:val="24"/>
                <w:szCs w:val="24"/>
              </w:rPr>
              <w:t>$81.7m</w:t>
            </w:r>
          </w:p>
        </w:tc>
      </w:tr>
      <w:tr w:rsidR="0042777A" w:rsidRPr="0042777A" w:rsidTr="0042777A">
        <w:tc>
          <w:tcPr>
            <w:tcW w:w="1673" w:type="pct"/>
          </w:tcPr>
          <w:p w:rsidR="00D03827" w:rsidRPr="0042777A" w:rsidRDefault="00D03827" w:rsidP="00320CC4">
            <w:pPr>
              <w:pStyle w:val="NoSpacing"/>
              <w:spacing w:line="240" w:lineRule="auto"/>
              <w:rPr>
                <w:sz w:val="24"/>
                <w:szCs w:val="24"/>
              </w:rPr>
            </w:pPr>
            <w:r w:rsidRPr="0042777A">
              <w:rPr>
                <w:sz w:val="24"/>
                <w:szCs w:val="24"/>
              </w:rPr>
              <w:t>Funding to support students to access their school curriculum such as Braillers and screen-reading software (Ministry of Education-funded)</w:t>
            </w:r>
          </w:p>
        </w:tc>
        <w:tc>
          <w:tcPr>
            <w:tcW w:w="837" w:type="pct"/>
          </w:tcPr>
          <w:p w:rsidR="00D03827" w:rsidRPr="0042777A" w:rsidRDefault="00D03827" w:rsidP="00320CC4">
            <w:pPr>
              <w:pStyle w:val="NoSpacing"/>
              <w:spacing w:line="240" w:lineRule="auto"/>
              <w:rPr>
                <w:sz w:val="24"/>
                <w:szCs w:val="24"/>
              </w:rPr>
            </w:pPr>
            <w:r w:rsidRPr="0042777A">
              <w:rPr>
                <w:sz w:val="24"/>
                <w:szCs w:val="24"/>
              </w:rPr>
              <w:t>$1.8m</w:t>
            </w:r>
          </w:p>
        </w:tc>
        <w:tc>
          <w:tcPr>
            <w:tcW w:w="830" w:type="pct"/>
          </w:tcPr>
          <w:p w:rsidR="00D03827" w:rsidRPr="0042777A" w:rsidRDefault="00D03827" w:rsidP="00320CC4">
            <w:pPr>
              <w:pStyle w:val="NoSpacing"/>
              <w:spacing w:line="240" w:lineRule="auto"/>
              <w:rPr>
                <w:sz w:val="24"/>
                <w:szCs w:val="24"/>
              </w:rPr>
            </w:pPr>
            <w:r w:rsidRPr="0042777A">
              <w:rPr>
                <w:sz w:val="24"/>
                <w:szCs w:val="24"/>
              </w:rPr>
              <w:t>$2.3m</w:t>
            </w:r>
          </w:p>
        </w:tc>
        <w:tc>
          <w:tcPr>
            <w:tcW w:w="830" w:type="pct"/>
          </w:tcPr>
          <w:p w:rsidR="00D03827" w:rsidRPr="0042777A" w:rsidRDefault="00D03827" w:rsidP="00320CC4">
            <w:pPr>
              <w:pStyle w:val="NoSpacing"/>
              <w:spacing w:line="240" w:lineRule="auto"/>
              <w:rPr>
                <w:sz w:val="24"/>
                <w:szCs w:val="24"/>
              </w:rPr>
            </w:pPr>
            <w:r w:rsidRPr="0042777A">
              <w:rPr>
                <w:sz w:val="24"/>
                <w:szCs w:val="24"/>
              </w:rPr>
              <w:t>$2.5m</w:t>
            </w:r>
          </w:p>
        </w:tc>
        <w:tc>
          <w:tcPr>
            <w:tcW w:w="830" w:type="pct"/>
          </w:tcPr>
          <w:p w:rsidR="00D03827" w:rsidRPr="0042777A" w:rsidRDefault="00D03827" w:rsidP="00320CC4">
            <w:pPr>
              <w:pStyle w:val="NoSpacing"/>
              <w:spacing w:line="240" w:lineRule="auto"/>
              <w:rPr>
                <w:sz w:val="24"/>
                <w:szCs w:val="24"/>
              </w:rPr>
            </w:pPr>
            <w:r w:rsidRPr="0042777A">
              <w:rPr>
                <w:sz w:val="24"/>
                <w:szCs w:val="24"/>
              </w:rPr>
              <w:t>-</w:t>
            </w:r>
          </w:p>
        </w:tc>
      </w:tr>
      <w:tr w:rsidR="0042777A" w:rsidRPr="0042777A" w:rsidTr="0042777A">
        <w:tc>
          <w:tcPr>
            <w:tcW w:w="1673" w:type="pct"/>
          </w:tcPr>
          <w:p w:rsidR="00D03827" w:rsidRPr="0042777A" w:rsidRDefault="00D03827" w:rsidP="00320CC4">
            <w:pPr>
              <w:pStyle w:val="NoSpacing"/>
              <w:spacing w:line="240" w:lineRule="auto"/>
              <w:rPr>
                <w:sz w:val="24"/>
                <w:szCs w:val="24"/>
              </w:rPr>
            </w:pPr>
            <w:r w:rsidRPr="0042777A">
              <w:rPr>
                <w:sz w:val="24"/>
                <w:szCs w:val="24"/>
              </w:rPr>
              <w:lastRenderedPageBreak/>
              <w:t>Financial assistance to cover the cost of disability incurred whilst in training or employment (Ministry of Social Development-funded)</w:t>
            </w:r>
            <w:r w:rsidRPr="0042777A">
              <w:rPr>
                <w:rStyle w:val="FootnoteReference"/>
                <w:rFonts w:ascii="Verdana" w:hAnsi="Verdana"/>
                <w:sz w:val="24"/>
                <w:szCs w:val="24"/>
              </w:rPr>
              <w:footnoteReference w:id="173"/>
            </w:r>
          </w:p>
        </w:tc>
        <w:tc>
          <w:tcPr>
            <w:tcW w:w="837" w:type="pct"/>
          </w:tcPr>
          <w:p w:rsidR="00D03827" w:rsidRPr="0042777A" w:rsidRDefault="00D03827" w:rsidP="00320CC4">
            <w:pPr>
              <w:pStyle w:val="NoSpacing"/>
              <w:spacing w:line="240" w:lineRule="auto"/>
              <w:rPr>
                <w:sz w:val="24"/>
                <w:szCs w:val="24"/>
              </w:rPr>
            </w:pPr>
            <w:r w:rsidRPr="0042777A">
              <w:rPr>
                <w:sz w:val="24"/>
                <w:szCs w:val="24"/>
              </w:rPr>
              <w:t>$6.2m</w:t>
            </w:r>
          </w:p>
        </w:tc>
        <w:tc>
          <w:tcPr>
            <w:tcW w:w="830" w:type="pct"/>
          </w:tcPr>
          <w:p w:rsidR="00D03827" w:rsidRPr="0042777A" w:rsidRDefault="00D03827" w:rsidP="00320CC4">
            <w:pPr>
              <w:pStyle w:val="NoSpacing"/>
              <w:spacing w:line="240" w:lineRule="auto"/>
              <w:rPr>
                <w:sz w:val="24"/>
                <w:szCs w:val="24"/>
              </w:rPr>
            </w:pPr>
            <w:r w:rsidRPr="0042777A">
              <w:rPr>
                <w:sz w:val="24"/>
                <w:szCs w:val="24"/>
              </w:rPr>
              <w:t>$5.8m</w:t>
            </w:r>
          </w:p>
        </w:tc>
        <w:tc>
          <w:tcPr>
            <w:tcW w:w="830" w:type="pct"/>
          </w:tcPr>
          <w:p w:rsidR="00D03827" w:rsidRPr="0042777A" w:rsidRDefault="00D03827" w:rsidP="00320CC4">
            <w:pPr>
              <w:pStyle w:val="NoSpacing"/>
              <w:spacing w:line="240" w:lineRule="auto"/>
              <w:rPr>
                <w:sz w:val="24"/>
                <w:szCs w:val="24"/>
              </w:rPr>
            </w:pPr>
            <w:r w:rsidRPr="0042777A">
              <w:rPr>
                <w:sz w:val="24"/>
                <w:szCs w:val="24"/>
              </w:rPr>
              <w:t>$4.7m</w:t>
            </w:r>
          </w:p>
        </w:tc>
        <w:tc>
          <w:tcPr>
            <w:tcW w:w="830" w:type="pct"/>
          </w:tcPr>
          <w:p w:rsidR="00D03827" w:rsidRPr="0042777A" w:rsidRDefault="00D03827" w:rsidP="00320CC4">
            <w:pPr>
              <w:pStyle w:val="NoSpacing"/>
              <w:spacing w:line="240" w:lineRule="auto"/>
              <w:rPr>
                <w:sz w:val="24"/>
                <w:szCs w:val="24"/>
              </w:rPr>
            </w:pPr>
            <w:r w:rsidRPr="0042777A">
              <w:rPr>
                <w:sz w:val="24"/>
                <w:szCs w:val="24"/>
              </w:rPr>
              <w:t>$6.8m</w:t>
            </w:r>
          </w:p>
        </w:tc>
      </w:tr>
      <w:tr w:rsidR="0042777A" w:rsidRPr="0042777A" w:rsidTr="0042777A">
        <w:tc>
          <w:tcPr>
            <w:tcW w:w="1673" w:type="pct"/>
          </w:tcPr>
          <w:p w:rsidR="00D03827" w:rsidRPr="0042777A" w:rsidRDefault="00D03827" w:rsidP="00320CC4">
            <w:pPr>
              <w:pStyle w:val="NoSpacing"/>
              <w:spacing w:line="240" w:lineRule="auto"/>
              <w:rPr>
                <w:sz w:val="24"/>
                <w:szCs w:val="24"/>
              </w:rPr>
            </w:pPr>
            <w:r w:rsidRPr="0042777A">
              <w:rPr>
                <w:sz w:val="24"/>
                <w:szCs w:val="24"/>
              </w:rPr>
              <w:t>Equipment and Modification Services (Ministry of Health-funded) (see question 19(a)).</w:t>
            </w:r>
          </w:p>
        </w:tc>
        <w:tc>
          <w:tcPr>
            <w:tcW w:w="837" w:type="pct"/>
          </w:tcPr>
          <w:p w:rsidR="00D03827" w:rsidRPr="0042777A" w:rsidRDefault="00D03827" w:rsidP="00320CC4">
            <w:pPr>
              <w:pStyle w:val="NoSpacing"/>
              <w:spacing w:line="240" w:lineRule="auto"/>
              <w:rPr>
                <w:sz w:val="24"/>
                <w:szCs w:val="24"/>
              </w:rPr>
            </w:pPr>
            <w:r w:rsidRPr="0042777A">
              <w:rPr>
                <w:sz w:val="24"/>
                <w:szCs w:val="24"/>
              </w:rPr>
              <w:t>$58m</w:t>
            </w:r>
          </w:p>
        </w:tc>
        <w:tc>
          <w:tcPr>
            <w:tcW w:w="830" w:type="pct"/>
          </w:tcPr>
          <w:p w:rsidR="00D03827" w:rsidRPr="0042777A" w:rsidRDefault="00D03827" w:rsidP="00320CC4">
            <w:pPr>
              <w:pStyle w:val="NoSpacing"/>
              <w:spacing w:line="240" w:lineRule="auto"/>
              <w:rPr>
                <w:sz w:val="24"/>
                <w:szCs w:val="24"/>
              </w:rPr>
            </w:pPr>
            <w:r w:rsidRPr="0042777A">
              <w:rPr>
                <w:sz w:val="24"/>
                <w:szCs w:val="24"/>
              </w:rPr>
              <w:t>$63m</w:t>
            </w:r>
          </w:p>
        </w:tc>
        <w:tc>
          <w:tcPr>
            <w:tcW w:w="830" w:type="pct"/>
          </w:tcPr>
          <w:p w:rsidR="00D03827" w:rsidRPr="0042777A" w:rsidRDefault="00D03827" w:rsidP="00320CC4">
            <w:pPr>
              <w:pStyle w:val="NoSpacing"/>
              <w:spacing w:line="240" w:lineRule="auto"/>
              <w:rPr>
                <w:sz w:val="24"/>
                <w:szCs w:val="24"/>
              </w:rPr>
            </w:pPr>
            <w:r w:rsidRPr="0042777A">
              <w:rPr>
                <w:sz w:val="24"/>
                <w:szCs w:val="24"/>
              </w:rPr>
              <w:t>$68.5m</w:t>
            </w:r>
          </w:p>
        </w:tc>
        <w:tc>
          <w:tcPr>
            <w:tcW w:w="830" w:type="pct"/>
          </w:tcPr>
          <w:p w:rsidR="00D03827" w:rsidRPr="0042777A" w:rsidRDefault="003A486D" w:rsidP="00320CC4">
            <w:pPr>
              <w:pStyle w:val="NoSpacing"/>
              <w:spacing w:line="240" w:lineRule="auto"/>
              <w:rPr>
                <w:sz w:val="24"/>
                <w:szCs w:val="24"/>
              </w:rPr>
            </w:pPr>
            <w:r>
              <w:rPr>
                <w:sz w:val="24"/>
                <w:szCs w:val="24"/>
              </w:rPr>
              <w:t>$74m</w:t>
            </w:r>
          </w:p>
        </w:tc>
      </w:tr>
    </w:tbl>
    <w:p w:rsidR="0042777A" w:rsidRDefault="0042777A" w:rsidP="00320CC4">
      <w:pPr>
        <w:pStyle w:val="CRPD-Questionstyle"/>
        <w:widowControl w:val="0"/>
        <w:spacing w:line="240" w:lineRule="auto"/>
        <w:rPr>
          <w:rFonts w:ascii="Times New Roman" w:hAnsi="Times New Roman"/>
          <w:sz w:val="28"/>
          <w:szCs w:val="24"/>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Respect for home and the family (art. 23)</w:t>
      </w:r>
    </w:p>
    <w:p w:rsidR="00064B7F" w:rsidRPr="003B3DD3" w:rsidRDefault="00064B7F" w:rsidP="00320CC4">
      <w:pPr>
        <w:pStyle w:val="CRPD-Questionstyle"/>
        <w:widowControl w:val="0"/>
        <w:spacing w:line="240" w:lineRule="auto"/>
        <w:rPr>
          <w:lang w:val="en-NZ"/>
        </w:rPr>
      </w:pPr>
      <w:r w:rsidRPr="003B3DD3">
        <w:rPr>
          <w:lang w:val="en-NZ"/>
        </w:rPr>
        <w:t>21.</w:t>
      </w:r>
      <w:r w:rsidRPr="003B3DD3">
        <w:rPr>
          <w:lang w:val="en-NZ"/>
        </w:rPr>
        <w:tab/>
      </w:r>
    </w:p>
    <w:p w:rsidR="00064B7F" w:rsidRPr="00963746" w:rsidRDefault="00064B7F" w:rsidP="00320CC4">
      <w:pPr>
        <w:pStyle w:val="CRPD-Questionstyle"/>
        <w:widowControl w:val="0"/>
        <w:spacing w:line="240" w:lineRule="auto"/>
        <w:rPr>
          <w:lang w:val="en-NZ"/>
        </w:rPr>
      </w:pPr>
      <w:r w:rsidRPr="003B3DD3">
        <w:rPr>
          <w:lang w:val="en-NZ"/>
        </w:rPr>
        <w:tab/>
        <w:t>(a)</w:t>
      </w:r>
      <w:r w:rsidRPr="003B3DD3">
        <w:rPr>
          <w:lang w:val="en-NZ"/>
        </w:rPr>
        <w:tab/>
        <w:t>Measures adopted for re-examination of two statutes, the Children, Young Persons and Their Families Act 1989 and the Vulnerable Children Act 2014, to ensure that disabled children have the same safeguards as other children when the</w:t>
      </w:r>
      <w:r w:rsidRPr="00963746">
        <w:rPr>
          <w:lang w:val="en-NZ"/>
        </w:rPr>
        <w:t>y are placed in out-of-home care;</w:t>
      </w:r>
    </w:p>
    <w:p w:rsidR="005035F9" w:rsidRPr="00942A6F" w:rsidRDefault="00064B7F" w:rsidP="00320CC4">
      <w:pPr>
        <w:pStyle w:val="CRPD-subsectionheading"/>
        <w:spacing w:line="240" w:lineRule="auto"/>
        <w:rPr>
          <w:b/>
        </w:rPr>
      </w:pPr>
      <w:r w:rsidRPr="00D03827">
        <w:t>The Children, Young Persons and Their Families Act 1989</w:t>
      </w:r>
      <w:r w:rsidRPr="00237D85">
        <w:t xml:space="preserve"> has been renamed the </w:t>
      </w:r>
      <w:r w:rsidRPr="00D03827">
        <w:t>Oranga Tamariki Act 1989</w:t>
      </w:r>
      <w:r w:rsidR="002E5DCA">
        <w:t xml:space="preserve"> (the Act)</w:t>
      </w:r>
      <w:r w:rsidRPr="00237D85">
        <w:t>.</w:t>
      </w:r>
      <w:r w:rsidR="005035F9">
        <w:t xml:space="preserve"> </w:t>
      </w:r>
    </w:p>
    <w:p w:rsidR="00791589" w:rsidRDefault="002319BB" w:rsidP="00320CC4">
      <w:pPr>
        <w:pStyle w:val="CRPD-subsectionheading"/>
        <w:spacing w:line="240" w:lineRule="auto"/>
        <w:rPr>
          <w:lang w:eastAsia="en-GB"/>
        </w:rPr>
      </w:pPr>
      <w:r>
        <w:t>Currently, sections 141 and 142</w:t>
      </w:r>
      <w:r>
        <w:rPr>
          <w:rStyle w:val="FootnoteReference"/>
        </w:rPr>
        <w:footnoteReference w:id="174"/>
      </w:r>
      <w:r w:rsidR="002E5DCA" w:rsidRPr="00D146E2">
        <w:t xml:space="preserve"> of the Act </w:t>
      </w:r>
      <w:r>
        <w:t>allow</w:t>
      </w:r>
      <w:r w:rsidR="00B10839">
        <w:t xml:space="preserve"> parents to voluntarily </w:t>
      </w:r>
      <w:r w:rsidR="002E5DCA" w:rsidRPr="00D146E2">
        <w:t>place their disabled child in out-of-home care in situations where there are no substantiated abuse or neglect issues</w:t>
      </w:r>
      <w:r>
        <w:t>. This can only occur</w:t>
      </w:r>
      <w:r w:rsidR="002E5DCA" w:rsidRPr="00D146E2">
        <w:t xml:space="preserve"> whe</w:t>
      </w:r>
      <w:r>
        <w:t>n</w:t>
      </w:r>
      <w:r w:rsidR="002E5DCA" w:rsidRPr="00D146E2">
        <w:t xml:space="preserve"> the child or young person is so mentally or physically disabled that suitable care can only be provided by an organisation approved to provide the level of care </w:t>
      </w:r>
      <w:r>
        <w:t>they need</w:t>
      </w:r>
      <w:r w:rsidR="00791589">
        <w:t>.</w:t>
      </w:r>
    </w:p>
    <w:p w:rsidR="002E5DCA" w:rsidRPr="00D146E2" w:rsidRDefault="00791589" w:rsidP="00320CC4">
      <w:pPr>
        <w:pStyle w:val="CRPD-subsectionheading"/>
        <w:spacing w:line="240" w:lineRule="auto"/>
        <w:rPr>
          <w:lang w:eastAsia="en-GB"/>
        </w:rPr>
      </w:pPr>
      <w:r>
        <w:lastRenderedPageBreak/>
        <w:t xml:space="preserve">The repeal of sections 141 and </w:t>
      </w:r>
      <w:r w:rsidR="002E5DCA" w:rsidRPr="00D146E2">
        <w:t>142 comes into force on 1 July 2019</w:t>
      </w:r>
      <w:r w:rsidR="002E5DCA" w:rsidRPr="00D146E2">
        <w:rPr>
          <w:rStyle w:val="FootnoteReference"/>
        </w:rPr>
        <w:footnoteReference w:id="175"/>
      </w:r>
      <w:r w:rsidR="002E5DCA" w:rsidRPr="00D146E2">
        <w:t xml:space="preserve">. Oranga Tamariki </w:t>
      </w:r>
      <w:r w:rsidR="002E5DCA" w:rsidRPr="00791589">
        <w:rPr>
          <w:rFonts w:eastAsia="Times New Roman"/>
          <w:lang w:eastAsia="en-GB"/>
        </w:rPr>
        <w:t xml:space="preserve">will </w:t>
      </w:r>
      <w:r w:rsidR="002E5DCA" w:rsidRPr="00D146E2">
        <w:t>be responsible for ensuring disabled children who are placed in care under the Act are subject to the same care mechanisms, protections and safeguards as any other children in the statutory care system</w:t>
      </w:r>
      <w:r w:rsidR="002E5DCA" w:rsidRPr="00D146E2">
        <w:rPr>
          <w:rStyle w:val="FootnoteReference"/>
        </w:rPr>
        <w:footnoteReference w:id="176"/>
      </w:r>
      <w:r w:rsidR="002E5DCA" w:rsidRPr="00D146E2">
        <w:t xml:space="preserve">. </w:t>
      </w:r>
    </w:p>
    <w:p w:rsidR="00C879A9" w:rsidRPr="00D07F88" w:rsidRDefault="002E5DCA" w:rsidP="00320CC4">
      <w:pPr>
        <w:pStyle w:val="CRPD-subsectionheading"/>
        <w:spacing w:line="240" w:lineRule="auto"/>
      </w:pPr>
      <w:r w:rsidRPr="00D146E2">
        <w:t xml:space="preserve">There are no plans to re-examine the </w:t>
      </w:r>
      <w:r w:rsidRPr="00D146E2">
        <w:rPr>
          <w:i/>
        </w:rPr>
        <w:t>Vulnerable Children Act 2014</w:t>
      </w:r>
      <w:r w:rsidR="00AE7744">
        <w:rPr>
          <w:i/>
        </w:rPr>
        <w:t xml:space="preserve"> </w:t>
      </w:r>
      <w:r w:rsidR="00AE7744" w:rsidRPr="00AE7744">
        <w:t>(now named the Children’s Act)</w:t>
      </w:r>
      <w:r w:rsidRPr="00AE7744">
        <w:t>.</w:t>
      </w:r>
      <w:r w:rsidRPr="00D146E2">
        <w:rPr>
          <w:i/>
        </w:rPr>
        <w:t xml:space="preserve"> </w:t>
      </w:r>
      <w:r w:rsidRPr="00D146E2">
        <w:t>Th</w:t>
      </w:r>
      <w:r w:rsidR="00AE7744">
        <w:t>is</w:t>
      </w:r>
      <w:r w:rsidRPr="00D146E2">
        <w:t xml:space="preserve"> </w:t>
      </w:r>
      <w:r w:rsidR="00AE7744" w:rsidRPr="00AE7744">
        <w:t>Act</w:t>
      </w:r>
      <w:r w:rsidRPr="00D146E2">
        <w:t xml:space="preserve"> was one measure brought in to protect and improve the wellbeing of vulnerable children.</w:t>
      </w:r>
      <w:r w:rsidRPr="009C4B5C">
        <w:t xml:space="preserve"> </w:t>
      </w: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Measures taken to repeal section 8 of the Adoption Act 1955 and to amend the statute, to ensure that persons with disabilities are treated on an equal basis with other applicants for adoption;</w:t>
      </w:r>
    </w:p>
    <w:p w:rsidR="00BC06B3" w:rsidRPr="00942A6F" w:rsidRDefault="00064B7F" w:rsidP="00320CC4">
      <w:pPr>
        <w:pStyle w:val="CRPD-subsectionheading"/>
        <w:spacing w:line="240" w:lineRule="auto"/>
      </w:pPr>
      <w:r w:rsidRPr="006E7161">
        <w:t>There are no immediate plans to review section 8</w:t>
      </w:r>
      <w:r w:rsidR="009629A9">
        <w:t xml:space="preserve">, </w:t>
      </w:r>
      <w:r w:rsidRPr="006E7161">
        <w:rPr>
          <w:i/>
        </w:rPr>
        <w:t>Adoption Act 1955</w:t>
      </w:r>
      <w:r w:rsidR="00B143BF" w:rsidRPr="006E7161">
        <w:rPr>
          <w:rStyle w:val="FootnoteReference"/>
          <w:b/>
        </w:rPr>
        <w:footnoteReference w:id="177"/>
      </w:r>
      <w:r w:rsidR="009A3EED">
        <w:t>.</w:t>
      </w:r>
    </w:p>
    <w:p w:rsidR="00064B7F" w:rsidRDefault="007A75F8" w:rsidP="00320CC4">
      <w:pPr>
        <w:pStyle w:val="CRPD-subsectionheading"/>
        <w:spacing w:line="240" w:lineRule="auto"/>
      </w:pPr>
      <w:r w:rsidRPr="007A75F8">
        <w:t>Section 8 allows the court to dispense with the consent of a birth parent to the adoption of a child in certain circumstances. Those circumstances include where the court is satisfied that the parent is unfit to have care of the child due to a lack of mental or physical capacity, and that the unfitness is likely to continue indefinitely. Decisions by</w:t>
      </w:r>
      <w:r w:rsidRPr="00237D85">
        <w:t xml:space="preserve"> the courts show that a high threshold of incapacity must be established before the consent of a biological parent will be dispensed with under section 8.</w:t>
      </w:r>
    </w:p>
    <w:p w:rsidR="005C10BF" w:rsidRDefault="007A75F8" w:rsidP="00320CC4">
      <w:pPr>
        <w:pStyle w:val="CRPD-subsectionheading"/>
        <w:spacing w:line="240" w:lineRule="auto"/>
      </w:pPr>
      <w:r w:rsidRPr="007A75F8">
        <w:t xml:space="preserve">When deciding whether to dispense with consent, the court may take into account other relevant factors. For example, in </w:t>
      </w:r>
      <w:r w:rsidRPr="007A75F8">
        <w:rPr>
          <w:i/>
        </w:rPr>
        <w:t>D v W</w:t>
      </w:r>
      <w:r w:rsidRPr="007A75F8">
        <w:rPr>
          <w:rStyle w:val="FootnoteReference"/>
        </w:rPr>
        <w:footnoteReference w:id="178"/>
      </w:r>
      <w:r w:rsidRPr="007A75F8">
        <w:t xml:space="preserve"> the judge </w:t>
      </w:r>
      <w:r w:rsidR="005C10BF">
        <w:t>found that a person’s</w:t>
      </w:r>
      <w:r w:rsidR="005C10BF" w:rsidRPr="005C10BF">
        <w:t xml:space="preserve"> </w:t>
      </w:r>
      <w:r w:rsidR="005C10BF" w:rsidRPr="007A75F8">
        <w:t>inability to care for a child without family or professional support</w:t>
      </w:r>
      <w:r w:rsidR="005C10BF">
        <w:t xml:space="preserve"> is not enough to find them unfit to have care and control of the child.</w:t>
      </w:r>
    </w:p>
    <w:p w:rsidR="00625F58" w:rsidRDefault="00064B7F" w:rsidP="00320CC4">
      <w:pPr>
        <w:pStyle w:val="CRPD-subsectionheading"/>
        <w:spacing w:line="240" w:lineRule="auto"/>
      </w:pPr>
      <w:r w:rsidRPr="00237D85">
        <w:t xml:space="preserve">The </w:t>
      </w:r>
      <w:r w:rsidRPr="007A75F8">
        <w:rPr>
          <w:i/>
        </w:rPr>
        <w:t>Adoption Act 1955</w:t>
      </w:r>
      <w:r w:rsidR="00B143BF" w:rsidRPr="007A75F8">
        <w:rPr>
          <w:i/>
        </w:rPr>
        <w:t xml:space="preserve"> </w:t>
      </w:r>
      <w:r w:rsidRPr="00237D85">
        <w:t>does not prevent a disable</w:t>
      </w:r>
      <w:r w:rsidR="007A75F8">
        <w:t xml:space="preserve">d person from adopting a child. </w:t>
      </w:r>
      <w:r w:rsidRPr="00237D85">
        <w:t xml:space="preserve">Oranga Tamariki examines </w:t>
      </w:r>
      <w:r w:rsidR="00625F58">
        <w:t>what is in</w:t>
      </w:r>
      <w:r w:rsidRPr="00237D85">
        <w:t xml:space="preserve"> the</w:t>
      </w:r>
      <w:r w:rsidR="005C10BF">
        <w:t xml:space="preserve"> child’s</w:t>
      </w:r>
      <w:r w:rsidRPr="00237D85">
        <w:t xml:space="preserve"> best interests when assessing adoptive parents and initial placement. All potential adoptive parents are equally assessed against</w:t>
      </w:r>
      <w:r w:rsidR="00B143BF" w:rsidRPr="00237D85">
        <w:t xml:space="preserve"> the criteria.</w:t>
      </w:r>
      <w:r w:rsidR="00BD219F">
        <w:t xml:space="preserve"> </w:t>
      </w:r>
    </w:p>
    <w:p w:rsidR="00064B7F" w:rsidRPr="00237D85" w:rsidRDefault="00064B7F" w:rsidP="00320CC4">
      <w:pPr>
        <w:pStyle w:val="CRPD-Questionstyle"/>
        <w:widowControl w:val="0"/>
        <w:spacing w:line="240" w:lineRule="auto"/>
        <w:rPr>
          <w:lang w:val="en-NZ"/>
        </w:rPr>
      </w:pPr>
      <w:r w:rsidRPr="00237D85">
        <w:rPr>
          <w:lang w:val="en-NZ"/>
        </w:rPr>
        <w:lastRenderedPageBreak/>
        <w:tab/>
        <w:t>(c)</w:t>
      </w:r>
      <w:r w:rsidRPr="00237D85">
        <w:rPr>
          <w:lang w:val="en-NZ"/>
        </w:rPr>
        <w:tab/>
        <w:t>Measures taken and any legal and policy requirements placed to ensure that doctors and other medical professionals provide full information to people who receive positive prenatal test results for d</w:t>
      </w:r>
      <w:r w:rsidR="0098581F">
        <w:rPr>
          <w:lang w:val="en-NZ"/>
        </w:rPr>
        <w:t>isabilities, particularly Down S</w:t>
      </w:r>
      <w:r w:rsidRPr="00237D85">
        <w:rPr>
          <w:lang w:val="en-NZ"/>
        </w:rPr>
        <w:t>yndrome.</w:t>
      </w:r>
    </w:p>
    <w:p w:rsidR="00373113" w:rsidRPr="004B6785" w:rsidRDefault="00BC58D4" w:rsidP="00320CC4">
      <w:pPr>
        <w:pStyle w:val="CRPD-subsectionheading"/>
        <w:spacing w:line="240" w:lineRule="auto"/>
        <w:rPr>
          <w:b/>
        </w:rPr>
      </w:pPr>
      <w:r w:rsidRPr="00942A6F">
        <w:t xml:space="preserve">In </w:t>
      </w:r>
      <w:r w:rsidR="002D21E1">
        <w:t>NZ</w:t>
      </w:r>
      <w:r w:rsidRPr="00942A6F">
        <w:t>,</w:t>
      </w:r>
      <w:r>
        <w:rPr>
          <w:b/>
        </w:rPr>
        <w:t xml:space="preserve"> </w:t>
      </w:r>
      <w:r>
        <w:t>p</w:t>
      </w:r>
      <w:r w:rsidR="00064B7F" w:rsidRPr="00237D85">
        <w:t xml:space="preserve">regnant women are offered screening tests to </w:t>
      </w:r>
      <w:r w:rsidR="00373113">
        <w:t xml:space="preserve">provide them with information about their pregnancy and to </w:t>
      </w:r>
      <w:r w:rsidR="00064B7F" w:rsidRPr="00237D85">
        <w:t xml:space="preserve">check that both </w:t>
      </w:r>
      <w:r w:rsidR="00373113">
        <w:t xml:space="preserve">mother </w:t>
      </w:r>
      <w:r w:rsidR="00064B7F" w:rsidRPr="00237D85">
        <w:t>a</w:t>
      </w:r>
      <w:r w:rsidR="0098581F">
        <w:t>nd baby are healthy. Disability</w:t>
      </w:r>
      <w:r w:rsidR="00064B7F" w:rsidRPr="00237D85">
        <w:t xml:space="preserve"> screening offered during pregnancy includes antenatal blood test</w:t>
      </w:r>
      <w:r w:rsidR="0098581F">
        <w:t>s</w:t>
      </w:r>
      <w:r w:rsidR="00064B7F" w:rsidRPr="00237D85">
        <w:t xml:space="preserve"> including HIV screening, diabetes screening, screening for Down</w:t>
      </w:r>
      <w:r w:rsidR="0098581F">
        <w:t xml:space="preserve"> S</w:t>
      </w:r>
      <w:r w:rsidR="00064B7F" w:rsidRPr="00237D85">
        <w:t xml:space="preserve">yndrome and other rare genetic conditions. </w:t>
      </w:r>
      <w:r w:rsidR="004B6785" w:rsidRPr="004B6785">
        <w:t xml:space="preserve">The Government funds the screening but some ultrasound (scan) providers charge an additional </w:t>
      </w:r>
      <w:r w:rsidR="0098581F">
        <w:t>fee</w:t>
      </w:r>
      <w:r w:rsidR="004B6785" w:rsidRPr="004B6785">
        <w:t>.</w:t>
      </w:r>
    </w:p>
    <w:p w:rsidR="004B6785" w:rsidRPr="004B6785" w:rsidRDefault="004B6785" w:rsidP="00320CC4">
      <w:pPr>
        <w:pStyle w:val="CRPD-subsectionheading"/>
        <w:spacing w:line="240" w:lineRule="auto"/>
      </w:pPr>
      <w:r w:rsidRPr="004B6785">
        <w:t xml:space="preserve">A pamphlet is available on Down </w:t>
      </w:r>
      <w:r w:rsidR="0098581F">
        <w:t>S</w:t>
      </w:r>
      <w:r w:rsidRPr="004B6785">
        <w:t>yndrome screening</w:t>
      </w:r>
      <w:r w:rsidR="0098581F">
        <w:rPr>
          <w:rStyle w:val="FootnoteReference"/>
        </w:rPr>
        <w:footnoteReference w:id="179"/>
      </w:r>
      <w:r w:rsidRPr="004B6785">
        <w:t>. All women less than 20 weeks pregnant are advised of the availability of optional screening for Down</w:t>
      </w:r>
      <w:r w:rsidR="0098581F">
        <w:t xml:space="preserve"> S</w:t>
      </w:r>
      <w:r w:rsidRPr="004B6785">
        <w:t xml:space="preserve">yndrome and other conditions at their first antenatal visit with a midwife, GP or obstetrician. </w:t>
      </w:r>
      <w:r w:rsidR="005D21B4">
        <w:t xml:space="preserve">More women on average are </w:t>
      </w:r>
      <w:r w:rsidR="0098581F">
        <w:t>be</w:t>
      </w:r>
      <w:r w:rsidR="005D21B4">
        <w:t>ing</w:t>
      </w:r>
      <w:r w:rsidR="0098581F">
        <w:t xml:space="preserve"> screened each year with </w:t>
      </w:r>
      <w:r w:rsidRPr="004B6785">
        <w:t>63</w:t>
      </w:r>
      <w:r w:rsidR="00922AFF">
        <w:t>%</w:t>
      </w:r>
      <w:r w:rsidRPr="004B6785">
        <w:t xml:space="preserve"> of births being screened in 2011 to 73</w:t>
      </w:r>
      <w:r w:rsidR="00922AFF">
        <w:t>%</w:t>
      </w:r>
      <w:r w:rsidRPr="004B6785">
        <w:t xml:space="preserve"> of births in 2016.</w:t>
      </w:r>
    </w:p>
    <w:p w:rsidR="004B6785" w:rsidRDefault="004B6785" w:rsidP="00320CC4">
      <w:pPr>
        <w:pStyle w:val="CRPD-subsectionheading"/>
        <w:spacing w:line="240" w:lineRule="auto"/>
      </w:pPr>
      <w:r w:rsidRPr="004B6785">
        <w:t xml:space="preserve">Women </w:t>
      </w:r>
      <w:r w:rsidR="00AA338A">
        <w:t xml:space="preserve">who have </w:t>
      </w:r>
      <w:r w:rsidRPr="004B6785">
        <w:t>an increased risk of a pregnancy with Down</w:t>
      </w:r>
      <w:r w:rsidR="00CB576C">
        <w:t xml:space="preserve"> S</w:t>
      </w:r>
      <w:r w:rsidRPr="004B6785">
        <w:t>yndrome and other genetic disorders are referred to an obstetrician</w:t>
      </w:r>
      <w:r w:rsidR="00AA338A">
        <w:t xml:space="preserve">. The obstetrician </w:t>
      </w:r>
      <w:r w:rsidR="00880E4D">
        <w:t>provides f</w:t>
      </w:r>
      <w:r w:rsidRPr="004B6785">
        <w:t xml:space="preserve">urther information </w:t>
      </w:r>
      <w:r w:rsidR="00880E4D">
        <w:t xml:space="preserve">so </w:t>
      </w:r>
      <w:r w:rsidR="00AA338A">
        <w:t>that the woman</w:t>
      </w:r>
      <w:r w:rsidR="00880E4D">
        <w:t xml:space="preserve"> can</w:t>
      </w:r>
      <w:r w:rsidRPr="004B6785">
        <w:t xml:space="preserve"> make an informed choice</w:t>
      </w:r>
      <w:r w:rsidR="00880E4D">
        <w:t xml:space="preserve"> about whether to continue with the pregnancy</w:t>
      </w:r>
      <w:r w:rsidRPr="004B6785">
        <w:t>. Additional support services are offered and further diagnostic testing (</w:t>
      </w:r>
      <w:r w:rsidR="00B70EBF">
        <w:t>including</w:t>
      </w:r>
      <w:r w:rsidRPr="004B6785">
        <w:t xml:space="preserve"> amniocentesis or chorionic villus sampling (CVS)) </w:t>
      </w:r>
      <w:r w:rsidR="00AA338A">
        <w:t>is offered to get a confirmed dia</w:t>
      </w:r>
      <w:r w:rsidRPr="004B6785">
        <w:t>g</w:t>
      </w:r>
      <w:r>
        <w:t>nosis.</w:t>
      </w:r>
      <w:r w:rsidRPr="004B6785">
        <w:t xml:space="preserve"> Others may consider terminating the pregnancy</w:t>
      </w:r>
      <w:r>
        <w:t xml:space="preserve"> or adoption</w:t>
      </w:r>
      <w:r w:rsidRPr="004B6785">
        <w:t xml:space="preserve">. </w:t>
      </w:r>
      <w:r w:rsidR="00EA446A" w:rsidRPr="00EA446A">
        <w:t>The National Screening Unit does not collect pregnancy or adoption data</w:t>
      </w:r>
      <w:r w:rsidR="00EA446A">
        <w:t>.</w:t>
      </w:r>
    </w:p>
    <w:p w:rsidR="004B6785" w:rsidRPr="00AA338A" w:rsidRDefault="004B6785" w:rsidP="00320CC4">
      <w:pPr>
        <w:pStyle w:val="CRPD-subsectionheading"/>
        <w:spacing w:line="240" w:lineRule="auto"/>
      </w:pPr>
      <w:r w:rsidRPr="00EE43E3">
        <w:t>The Government provides free counselling and advice whe</w:t>
      </w:r>
      <w:r w:rsidR="00AA338A">
        <w:t>n</w:t>
      </w:r>
      <w:r w:rsidRPr="00EE43E3">
        <w:t xml:space="preserve"> results are positive. </w:t>
      </w:r>
      <w:r w:rsidRPr="00AA338A">
        <w:t>At all stages of screening</w:t>
      </w:r>
      <w:r w:rsidR="00AA338A" w:rsidRPr="00AA338A">
        <w:t>,</w:t>
      </w:r>
      <w:r w:rsidRPr="00AA338A">
        <w:t xml:space="preserve"> women are provided with contact details for local support groups including </w:t>
      </w:r>
      <w:r w:rsidRPr="00AA338A">
        <w:rPr>
          <w:i/>
        </w:rPr>
        <w:t xml:space="preserve">The </w:t>
      </w:r>
      <w:r w:rsidR="00987E1F">
        <w:rPr>
          <w:i/>
        </w:rPr>
        <w:t>NZ</w:t>
      </w:r>
      <w:r w:rsidRPr="00AA338A">
        <w:rPr>
          <w:i/>
        </w:rPr>
        <w:t xml:space="preserve"> Down Syndrome Association</w:t>
      </w:r>
      <w:r w:rsidR="00D03827">
        <w:rPr>
          <w:rStyle w:val="FootnoteReference"/>
          <w:i/>
        </w:rPr>
        <w:footnoteReference w:id="180"/>
      </w:r>
      <w:r w:rsidRPr="00AA338A">
        <w:t xml:space="preserve"> </w:t>
      </w:r>
      <w:r w:rsidR="00AA338A" w:rsidRPr="00AA338A">
        <w:t>so</w:t>
      </w:r>
      <w:r w:rsidRPr="00AA338A">
        <w:t xml:space="preserve"> that they have </w:t>
      </w:r>
      <w:r w:rsidR="00AA338A" w:rsidRPr="00AA338A">
        <w:t>access to</w:t>
      </w:r>
      <w:r w:rsidRPr="00AA338A">
        <w:t xml:space="preserve"> information to help them decide </w:t>
      </w:r>
      <w:r w:rsidR="00AA338A" w:rsidRPr="00AA338A">
        <w:t>whether to</w:t>
      </w:r>
      <w:r w:rsidRPr="00AA338A">
        <w:t xml:space="preserve"> </w:t>
      </w:r>
      <w:r w:rsidR="00CB576C" w:rsidRPr="00AA338A">
        <w:t>scr</w:t>
      </w:r>
      <w:r w:rsidR="00AA338A" w:rsidRPr="00AA338A">
        <w:t>een and test</w:t>
      </w:r>
      <w:r w:rsidR="00CB576C" w:rsidRPr="00AA338A">
        <w:t xml:space="preserve"> for Down S</w:t>
      </w:r>
      <w:r w:rsidRPr="00AA338A">
        <w:t xml:space="preserve">yndrome and other conditions. </w:t>
      </w:r>
    </w:p>
    <w:p w:rsidR="00064B7F" w:rsidRPr="00AA338A" w:rsidRDefault="00064B7F" w:rsidP="00320CC4">
      <w:pPr>
        <w:pStyle w:val="CRPD-subsectionheading"/>
        <w:spacing w:line="240" w:lineRule="auto"/>
      </w:pPr>
      <w:r w:rsidRPr="00AA338A">
        <w:t>See</w:t>
      </w:r>
      <w:r w:rsidR="001248AE" w:rsidRPr="00AA338A">
        <w:t xml:space="preserve"> </w:t>
      </w:r>
      <w:r w:rsidR="00A96E48" w:rsidRPr="00AA338A">
        <w:t>question</w:t>
      </w:r>
      <w:r w:rsidRPr="00AA338A">
        <w:t xml:space="preserve"> 11(b) and 16(a).</w:t>
      </w:r>
    </w:p>
    <w:p w:rsidR="006F7302" w:rsidRDefault="006F7302" w:rsidP="00320CC4">
      <w:pPr>
        <w:pStyle w:val="CRPD-Questionstyle"/>
        <w:widowControl w:val="0"/>
        <w:spacing w:line="240" w:lineRule="auto"/>
        <w:rPr>
          <w:lang w:val="en-NZ"/>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lastRenderedPageBreak/>
        <w:t>Education (art. 24)</w:t>
      </w:r>
    </w:p>
    <w:p w:rsidR="00064B7F" w:rsidRPr="00237D85" w:rsidRDefault="00064B7F" w:rsidP="00320CC4">
      <w:pPr>
        <w:pStyle w:val="CRPD-Questionstyle"/>
        <w:widowControl w:val="0"/>
        <w:spacing w:line="240" w:lineRule="auto"/>
        <w:rPr>
          <w:lang w:val="en-NZ"/>
        </w:rPr>
      </w:pPr>
      <w:r w:rsidRPr="00237D85">
        <w:rPr>
          <w:lang w:val="en-NZ"/>
        </w:rPr>
        <w:t>22.</w:t>
      </w:r>
      <w:r w:rsidRPr="00237D85">
        <w:rPr>
          <w:lang w:val="en-NZ"/>
        </w:rPr>
        <w:tab/>
        <w:t xml:space="preserve"> </w:t>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Establish the enforceable right to inclusive education;</w:t>
      </w:r>
    </w:p>
    <w:p w:rsidR="003B3DD3" w:rsidRDefault="003B3DD3" w:rsidP="00320CC4">
      <w:pPr>
        <w:pStyle w:val="CRPD-subsectionheading"/>
        <w:spacing w:line="240" w:lineRule="auto"/>
      </w:pPr>
      <w:r>
        <w:t xml:space="preserve">The </w:t>
      </w:r>
      <w:r w:rsidRPr="00942A6F">
        <w:rPr>
          <w:i/>
        </w:rPr>
        <w:t>Education Act 1989</w:t>
      </w:r>
      <w:r w:rsidR="00043363">
        <w:t xml:space="preserve"> </w:t>
      </w:r>
      <w:r w:rsidRPr="003B3DD3">
        <w:t>says, "people who have special educational needs (whether because of disability or otherwise) have the same rights to enrol and receive education in state schools as people who do not"</w:t>
      </w:r>
      <w:r w:rsidR="00043363">
        <w:rPr>
          <w:rStyle w:val="FootnoteReference"/>
        </w:rPr>
        <w:footnoteReference w:id="181"/>
      </w:r>
      <w:r w:rsidRPr="003B3DD3">
        <w:t>.</w:t>
      </w:r>
    </w:p>
    <w:p w:rsidR="00064B7F" w:rsidRPr="00237D85" w:rsidRDefault="00064B7F" w:rsidP="00320CC4">
      <w:pPr>
        <w:pStyle w:val="CRPD-subsectionheading"/>
        <w:spacing w:line="240" w:lineRule="auto"/>
      </w:pPr>
      <w:r w:rsidRPr="00237D85">
        <w:t xml:space="preserve">Where there are barriers to enrolment, attendance and participation at school, the Ministry of Education intervenes to work with the families and schools to resolve issues as quickly as possible. </w:t>
      </w:r>
    </w:p>
    <w:p w:rsidR="00064B7F" w:rsidRPr="00237D85" w:rsidRDefault="00064B7F" w:rsidP="00320CC4">
      <w:pPr>
        <w:pStyle w:val="CRPD-subsectionheading"/>
        <w:spacing w:line="240" w:lineRule="auto"/>
      </w:pPr>
      <w:r w:rsidRPr="00237D85">
        <w:t>The Ministry of Education is trialling a Dispute Resolution Process in three regions</w:t>
      </w:r>
      <w:r w:rsidR="00AA338A">
        <w:rPr>
          <w:rStyle w:val="FootnoteReference"/>
        </w:rPr>
        <w:footnoteReference w:id="182"/>
      </w:r>
      <w:r w:rsidRPr="00237D85">
        <w:t>. The Dispute Resolution Process supports parents, caregivers, whānau and schools to come together early to work through challenging issues for children and young people with learning support needs, where issues have</w:t>
      </w:r>
      <w:r w:rsidR="003443F0" w:rsidRPr="00237D85">
        <w:t xml:space="preserve"> not</w:t>
      </w:r>
      <w:r w:rsidRPr="00237D85">
        <w:t xml:space="preserve"> been resolved at a school level. </w:t>
      </w:r>
      <w:r w:rsidR="00AA338A">
        <w:t>I</w:t>
      </w:r>
      <w:r w:rsidRPr="00237D85">
        <w:t xml:space="preserve">ssues and concerns </w:t>
      </w:r>
      <w:r w:rsidR="00AA338A">
        <w:t>could relate to</w:t>
      </w:r>
      <w:r w:rsidRPr="00237D85">
        <w:t xml:space="preserve"> the child or young person’s access, presence, participation or learning.</w:t>
      </w:r>
    </w:p>
    <w:p w:rsidR="00027302" w:rsidRPr="00AA338A" w:rsidRDefault="00064B7F" w:rsidP="00320CC4">
      <w:pPr>
        <w:pStyle w:val="CRPD-subsectionheading"/>
        <w:spacing w:line="240" w:lineRule="auto"/>
      </w:pPr>
      <w:r w:rsidRPr="00237D85">
        <w:t xml:space="preserve">The </w:t>
      </w:r>
      <w:r w:rsidRPr="004D41A9">
        <w:rPr>
          <w:i/>
        </w:rPr>
        <w:t>Education (Update) Amendment Act 2017</w:t>
      </w:r>
      <w:r w:rsidRPr="00237D85">
        <w:t xml:space="preserve"> </w:t>
      </w:r>
      <w:r w:rsidR="00825398">
        <w:t>allowed schools</w:t>
      </w:r>
      <w:r w:rsidRPr="00237D85">
        <w:t xml:space="preserve"> </w:t>
      </w:r>
      <w:r w:rsidR="00825398">
        <w:t>to</w:t>
      </w:r>
      <w:r w:rsidR="00825398" w:rsidRPr="00237D85">
        <w:t xml:space="preserve"> </w:t>
      </w:r>
      <w:r w:rsidRPr="00237D85">
        <w:t xml:space="preserve">get quicker and more tailored support from the Ministry of Education to get back on track when they are struggling. </w:t>
      </w:r>
      <w:r w:rsidR="003B3DD3">
        <w:t xml:space="preserve">This </w:t>
      </w:r>
      <w:r w:rsidR="00825398">
        <w:t>means</w:t>
      </w:r>
      <w:r w:rsidR="003B3DD3" w:rsidRPr="00237D85">
        <w:t xml:space="preserve"> </w:t>
      </w:r>
      <w:r w:rsidRPr="00237D85">
        <w:t xml:space="preserve">the Ministry of Education </w:t>
      </w:r>
      <w:r w:rsidR="00825398">
        <w:t>can</w:t>
      </w:r>
      <w:r w:rsidR="00825398" w:rsidRPr="00237D85">
        <w:t xml:space="preserve"> </w:t>
      </w:r>
      <w:r w:rsidRPr="00237D85">
        <w:t>intervene where a child is prevented from accessing education.</w:t>
      </w:r>
      <w:r w:rsidR="00825398">
        <w:t xml:space="preserve"> </w:t>
      </w: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 xml:space="preserve">Ensure that the principles of inclusive education are built into all levels of the education system, from the legislation to the training of teachers, to on-the-job support and guidance, to work planning and budgeting for the school year by school boards, and to operationalize them; </w:t>
      </w:r>
    </w:p>
    <w:p w:rsidR="00672F93" w:rsidRDefault="00672F93" w:rsidP="00320CC4">
      <w:pPr>
        <w:pStyle w:val="CRPD-subsectionheading"/>
        <w:spacing w:line="240" w:lineRule="auto"/>
      </w:pPr>
      <w:r w:rsidRPr="00237D85">
        <w:t xml:space="preserve">The </w:t>
      </w:r>
      <w:r w:rsidRPr="00672F93">
        <w:rPr>
          <w:i/>
        </w:rPr>
        <w:t>Education (Update) Amendment Act 2017</w:t>
      </w:r>
      <w:r>
        <w:t xml:space="preserve"> </w:t>
      </w:r>
      <w:r w:rsidRPr="00237D85">
        <w:t xml:space="preserve">provided a set of </w:t>
      </w:r>
      <w:r>
        <w:t>long-term</w:t>
      </w:r>
      <w:r w:rsidRPr="00237D85">
        <w:t xml:space="preserve"> objectives for </w:t>
      </w:r>
      <w:r>
        <w:t>a Board of Trustees in governing a school. These objectives</w:t>
      </w:r>
      <w:r w:rsidRPr="00237D85">
        <w:t xml:space="preserve"> </w:t>
      </w:r>
      <w:r>
        <w:t>say</w:t>
      </w:r>
      <w:r w:rsidRPr="00237D85">
        <w:t xml:space="preserve"> </w:t>
      </w:r>
      <w:r>
        <w:t>that</w:t>
      </w:r>
      <w:r w:rsidRPr="00237D85">
        <w:t xml:space="preserve"> </w:t>
      </w:r>
      <w:r>
        <w:t xml:space="preserve">to ensure every child and young person is able to progress and achieve in education, the school must be inclusive and cater for students with differing needs. </w:t>
      </w:r>
    </w:p>
    <w:p w:rsidR="00C14409" w:rsidRDefault="00064B7F" w:rsidP="00320CC4">
      <w:pPr>
        <w:pStyle w:val="CRPD-subsectionheading"/>
        <w:spacing w:line="240" w:lineRule="auto"/>
      </w:pPr>
      <w:r w:rsidRPr="00237D85">
        <w:lastRenderedPageBreak/>
        <w:t xml:space="preserve">The </w:t>
      </w:r>
      <w:r w:rsidRPr="00237D85">
        <w:rPr>
          <w:i/>
        </w:rPr>
        <w:t>Education (Update) Amendment Act 2017</w:t>
      </w:r>
      <w:r w:rsidR="001248AE">
        <w:t xml:space="preserve"> </w:t>
      </w:r>
      <w:r w:rsidRPr="00237D85">
        <w:t xml:space="preserve">provided a set of </w:t>
      </w:r>
      <w:r w:rsidR="00C14409">
        <w:t>long-term</w:t>
      </w:r>
      <w:r w:rsidR="00C14409" w:rsidRPr="00237D85">
        <w:t xml:space="preserve"> </w:t>
      </w:r>
      <w:r w:rsidRPr="00237D85">
        <w:t>objectives for the education system</w:t>
      </w:r>
      <w:r w:rsidR="00C14409">
        <w:t>. These objectives</w:t>
      </w:r>
      <w:r w:rsidRPr="00237D85">
        <w:t xml:space="preserve"> </w:t>
      </w:r>
      <w:r w:rsidR="00C14409">
        <w:t>say</w:t>
      </w:r>
      <w:r w:rsidRPr="00237D85">
        <w:t xml:space="preserve"> what a good education should look like for children and young people</w:t>
      </w:r>
      <w:r w:rsidR="00C14409">
        <w:t xml:space="preserve">. The objectives </w:t>
      </w:r>
      <w:r w:rsidRPr="00237D85">
        <w:t>identif</w:t>
      </w:r>
      <w:r w:rsidR="00C14409">
        <w:t>y</w:t>
      </w:r>
      <w:r w:rsidRPr="00237D85">
        <w:t xml:space="preserve"> that inclusion is essential within the education system. </w:t>
      </w:r>
    </w:p>
    <w:p w:rsidR="00064B7F" w:rsidRPr="00237D85" w:rsidRDefault="00064B7F" w:rsidP="00320CC4">
      <w:pPr>
        <w:pStyle w:val="CRPD-subsectionheading"/>
        <w:spacing w:line="240" w:lineRule="auto"/>
      </w:pPr>
      <w:r w:rsidRPr="00237D85">
        <w:t>This</w:t>
      </w:r>
      <w:r w:rsidR="00770D29" w:rsidRPr="00237D85">
        <w:t xml:space="preserve"> Act</w:t>
      </w:r>
      <w:r w:rsidRPr="00237D85">
        <w:t xml:space="preserve"> </w:t>
      </w:r>
      <w:r w:rsidR="00C14409">
        <w:t xml:space="preserve">also </w:t>
      </w:r>
      <w:r w:rsidRPr="00237D85">
        <w:t>plac</w:t>
      </w:r>
      <w:r w:rsidR="00770D29" w:rsidRPr="00237D85">
        <w:t>ed</w:t>
      </w:r>
      <w:r w:rsidRPr="00237D85">
        <w:t xml:space="preserve"> legal obligations on Boards of Trustees</w:t>
      </w:r>
      <w:r w:rsidR="001A20DB">
        <w:rPr>
          <w:rStyle w:val="FootnoteReference"/>
        </w:rPr>
        <w:footnoteReference w:id="183"/>
      </w:r>
      <w:r w:rsidR="00C14409">
        <w:t xml:space="preserve"> who must</w:t>
      </w:r>
      <w:r w:rsidRPr="00237D85">
        <w:t xml:space="preserve"> ensure that the school is a physically and emotionally safe place for all students and staff and is inclusive of</w:t>
      </w:r>
      <w:r w:rsidR="00C14409">
        <w:t>,</w:t>
      </w:r>
      <w:r w:rsidRPr="00237D85">
        <w:t xml:space="preserve"> and caters for</w:t>
      </w:r>
      <w:r w:rsidR="00C14409">
        <w:t>,</w:t>
      </w:r>
      <w:r w:rsidRPr="00237D85">
        <w:t xml:space="preserve"> students with differing needs. </w:t>
      </w:r>
    </w:p>
    <w:p w:rsidR="00064B7F" w:rsidRPr="00942A6F" w:rsidRDefault="00064B7F" w:rsidP="00320CC4">
      <w:pPr>
        <w:pStyle w:val="CRPD-subsectionheading"/>
        <w:spacing w:line="240" w:lineRule="auto"/>
      </w:pPr>
      <w:r w:rsidRPr="00237D85">
        <w:t xml:space="preserve">The </w:t>
      </w:r>
      <w:r w:rsidRPr="00237D85">
        <w:rPr>
          <w:rStyle w:val="CRPDStateParty-bodyitalicsChar"/>
          <w:noProof w:val="0"/>
        </w:rPr>
        <w:t>Code of Professional Responsibility and Standards for the Teaching Profession</w:t>
      </w:r>
      <w:r w:rsidR="00F83EFD">
        <w:rPr>
          <w:rStyle w:val="FootnoteReference"/>
          <w:rFonts w:cs="Times New Roman"/>
          <w:i/>
        </w:rPr>
        <w:footnoteReference w:id="184"/>
      </w:r>
      <w:r w:rsidRPr="00237D85">
        <w:t xml:space="preserve"> outline</w:t>
      </w:r>
      <w:r w:rsidR="00C14409">
        <w:t>s</w:t>
      </w:r>
      <w:r w:rsidRPr="00237D85">
        <w:t xml:space="preserve"> that teachers </w:t>
      </w:r>
      <w:r w:rsidRPr="00B12F46">
        <w:t xml:space="preserve">must promote inclusive practices to support the needs of all children. </w:t>
      </w:r>
      <w:r w:rsidR="00C14409" w:rsidRPr="00B12F46">
        <w:t>The Government</w:t>
      </w:r>
      <w:r w:rsidRPr="00B12F46">
        <w:t xml:space="preserve"> fund</w:t>
      </w:r>
      <w:r w:rsidR="00C14409" w:rsidRPr="00B12F46">
        <w:t>s</w:t>
      </w:r>
      <w:r w:rsidRPr="00B12F46">
        <w:t xml:space="preserve"> professional </w:t>
      </w:r>
      <w:r w:rsidR="00C14409" w:rsidRPr="00B12F46">
        <w:t>training</w:t>
      </w:r>
      <w:r w:rsidRPr="00B12F46">
        <w:t xml:space="preserve"> which focuses on building greater equity and excellence in a small number of national priority areas.</w:t>
      </w:r>
      <w:r w:rsidRPr="00237D85">
        <w:t xml:space="preserve"> </w:t>
      </w:r>
    </w:p>
    <w:p w:rsidR="00C14409" w:rsidRPr="00237D85" w:rsidRDefault="00F83EFD" w:rsidP="00320CC4">
      <w:pPr>
        <w:pStyle w:val="CRPD-subsectionheading"/>
        <w:spacing w:line="240" w:lineRule="auto"/>
      </w:pPr>
      <w:r>
        <w:t>I</w:t>
      </w:r>
      <w:r w:rsidR="00C14409" w:rsidRPr="00237D85">
        <w:t>nclusive educati</w:t>
      </w:r>
      <w:r w:rsidR="00C14409">
        <w:t>on guides</w:t>
      </w:r>
      <w:r>
        <w:t xml:space="preserve"> have</w:t>
      </w:r>
      <w:r w:rsidR="00043363">
        <w:t xml:space="preserve"> information for educators on</w:t>
      </w:r>
      <w:r w:rsidR="00C14409" w:rsidRPr="00237D85">
        <w:t xml:space="preserve"> </w:t>
      </w:r>
      <w:r w:rsidR="002C5338">
        <w:t>how to</w:t>
      </w:r>
      <w:r w:rsidR="00C14409" w:rsidRPr="00237D85">
        <w:t xml:space="preserve"> support </w:t>
      </w:r>
      <w:r w:rsidR="00043363">
        <w:t>students</w:t>
      </w:r>
      <w:r w:rsidR="00C14409" w:rsidRPr="00237D85">
        <w:t xml:space="preserve"> with psychosocial and/or intellectual disabilities. </w:t>
      </w:r>
    </w:p>
    <w:p w:rsidR="00064B7F" w:rsidRPr="00237D85" w:rsidRDefault="00064B7F" w:rsidP="00320CC4">
      <w:pPr>
        <w:pStyle w:val="CRPD-Questionstyle"/>
        <w:widowControl w:val="0"/>
        <w:spacing w:line="240" w:lineRule="auto"/>
        <w:rPr>
          <w:lang w:val="en-NZ"/>
        </w:rPr>
      </w:pPr>
      <w:r w:rsidRPr="00237D85">
        <w:rPr>
          <w:lang w:val="en-NZ"/>
        </w:rPr>
        <w:tab/>
        <w:t>(c)</w:t>
      </w:r>
      <w:r w:rsidRPr="00237D85">
        <w:rPr>
          <w:lang w:val="en-NZ"/>
        </w:rPr>
        <w:tab/>
        <w:t>Increase funding to ensure full accessibility, the provision of reasonable accommodation, modifications and support for inclusive education in primary and secondary education, including teacher training programmes, including with respect to psychosocial and/or intellectual disabilities of children at all levels of education;</w:t>
      </w:r>
    </w:p>
    <w:p w:rsidR="00173B8B" w:rsidRDefault="00173B8B" w:rsidP="00320CC4">
      <w:pPr>
        <w:pStyle w:val="CRPD-subsectionheading"/>
        <w:spacing w:line="240" w:lineRule="auto"/>
      </w:pPr>
      <w:r>
        <w:t>Consultation has been completed on the draft Learning Sup</w:t>
      </w:r>
      <w:r w:rsidR="001F434B">
        <w:t xml:space="preserve">port Action Plan for 2019-2025. </w:t>
      </w:r>
      <w:r>
        <w:t xml:space="preserve">The Government </w:t>
      </w:r>
      <w:r w:rsidR="00766A82">
        <w:t xml:space="preserve">has announced new investment of </w:t>
      </w:r>
      <w:r>
        <w:t xml:space="preserve">$217m </w:t>
      </w:r>
      <w:r w:rsidR="00766A82">
        <w:t xml:space="preserve">over four years </w:t>
      </w:r>
      <w:r>
        <w:t xml:space="preserve">for the first tranche of 600 </w:t>
      </w:r>
      <w:r w:rsidR="001F434B">
        <w:t>fully funded</w:t>
      </w:r>
      <w:r>
        <w:t xml:space="preserve"> Learning Support</w:t>
      </w:r>
      <w:r w:rsidR="001F434B">
        <w:t xml:space="preserve"> Co-Ordinators in schools from </w:t>
      </w:r>
      <w:r>
        <w:t>January 2020</w:t>
      </w:r>
      <w:r w:rsidR="001F434B">
        <w:rPr>
          <w:rStyle w:val="FootnoteReference"/>
        </w:rPr>
        <w:footnoteReference w:id="185"/>
      </w:r>
      <w:r w:rsidR="00766A82">
        <w:t xml:space="preserve">. </w:t>
      </w:r>
    </w:p>
    <w:p w:rsidR="00064B7F" w:rsidRPr="00F83EFD" w:rsidRDefault="00043363" w:rsidP="00320CC4">
      <w:pPr>
        <w:pStyle w:val="CRPD-subsectionheading"/>
        <w:spacing w:line="240" w:lineRule="auto"/>
      </w:pPr>
      <w:r>
        <w:t>A</w:t>
      </w:r>
      <w:r w:rsidR="00064B7F" w:rsidRPr="00237D85">
        <w:t>pproximately 1</w:t>
      </w:r>
      <w:r w:rsidR="00BE7E35" w:rsidRPr="00237D85">
        <w:t>,</w:t>
      </w:r>
      <w:r w:rsidR="00064B7F" w:rsidRPr="00237D85">
        <w:t>200 schools</w:t>
      </w:r>
      <w:r w:rsidR="001A20DB">
        <w:t xml:space="preserve"> </w:t>
      </w:r>
      <w:r>
        <w:t xml:space="preserve">had property modifications </w:t>
      </w:r>
      <w:r w:rsidR="001A20DB">
        <w:t>between July 2012 and April 2017</w:t>
      </w:r>
      <w:r w:rsidR="002C5338">
        <w:t xml:space="preserve">. </w:t>
      </w:r>
      <w:r w:rsidR="00064B7F" w:rsidRPr="00237D85">
        <w:t xml:space="preserve">Funding </w:t>
      </w:r>
      <w:r w:rsidR="00F83EFD">
        <w:t>for</w:t>
      </w:r>
      <w:r w:rsidR="00064B7F" w:rsidRPr="00237D85">
        <w:t xml:space="preserve"> </w:t>
      </w:r>
      <w:r w:rsidR="00F83EFD" w:rsidRPr="00237D85">
        <w:t xml:space="preserve">property modifications </w:t>
      </w:r>
      <w:r w:rsidR="00064B7F" w:rsidRPr="00237D85">
        <w:t xml:space="preserve">increased from $12 million in 2012/13 to $31 million in </w:t>
      </w:r>
      <w:r w:rsidR="00064B7F" w:rsidRPr="00F83EFD">
        <w:t xml:space="preserve">2017/18. This reflects growing demand </w:t>
      </w:r>
      <w:r w:rsidR="009B24D2" w:rsidRPr="00F83EFD">
        <w:t>to accom</w:t>
      </w:r>
      <w:r w:rsidR="004D501E" w:rsidRPr="00F83EFD">
        <w:t>m</w:t>
      </w:r>
      <w:r w:rsidR="009B24D2" w:rsidRPr="00F83EFD">
        <w:t>odate disabled children</w:t>
      </w:r>
      <w:r w:rsidR="00825398" w:rsidRPr="00F83EFD">
        <w:t xml:space="preserve"> in more schools</w:t>
      </w:r>
      <w:r w:rsidR="009B24D2" w:rsidRPr="00F83EFD">
        <w:t>.</w:t>
      </w:r>
    </w:p>
    <w:p w:rsidR="002C5338" w:rsidRPr="00F83EFD" w:rsidRDefault="002C5338" w:rsidP="00320CC4">
      <w:pPr>
        <w:pStyle w:val="CRPD-subsectionheading"/>
        <w:spacing w:line="240" w:lineRule="auto"/>
      </w:pPr>
      <w:r w:rsidRPr="00F83EFD">
        <w:t>See question 22(b) regarding inclusive education.</w:t>
      </w:r>
    </w:p>
    <w:p w:rsidR="00064B7F" w:rsidRPr="00237D85" w:rsidRDefault="00064B7F" w:rsidP="00320CC4">
      <w:pPr>
        <w:pStyle w:val="CRPD-Questionstyle"/>
        <w:widowControl w:val="0"/>
        <w:spacing w:line="240" w:lineRule="auto"/>
        <w:rPr>
          <w:lang w:val="en-NZ"/>
        </w:rPr>
      </w:pPr>
      <w:r w:rsidRPr="00237D85">
        <w:rPr>
          <w:lang w:val="en-NZ"/>
        </w:rPr>
        <w:lastRenderedPageBreak/>
        <w:tab/>
        <w:t>(d)</w:t>
      </w:r>
      <w:r w:rsidRPr="00237D85">
        <w:rPr>
          <w:lang w:val="en-NZ"/>
        </w:rPr>
        <w:tab/>
        <w:t>Increase the accessibility of tertiary education facilities and courses, and the levels of entry into tertiary education for all persons with disabilities, particularly those persons with psychosocial and/or intellectual disabilities;</w:t>
      </w:r>
    </w:p>
    <w:p w:rsidR="00064B7F" w:rsidRPr="00237D85" w:rsidRDefault="002D21E1" w:rsidP="00320CC4">
      <w:pPr>
        <w:pStyle w:val="CRPD-subsectionheading"/>
        <w:spacing w:line="240" w:lineRule="auto"/>
      </w:pPr>
      <w:r>
        <w:t>NZ</w:t>
      </w:r>
      <w:r w:rsidR="00064B7F" w:rsidRPr="00237D85">
        <w:t xml:space="preserve"> has a diverse and highly devolved tertiary education system. </w:t>
      </w:r>
      <w:r w:rsidR="00043363">
        <w:t>L</w:t>
      </w:r>
      <w:r w:rsidR="00064B7F" w:rsidRPr="00237D85">
        <w:t xml:space="preserve">argely autonomous councils of tertiary institutions </w:t>
      </w:r>
      <w:r w:rsidR="00043363">
        <w:t xml:space="preserve">and other individual providers manage, govern and lead </w:t>
      </w:r>
      <w:r w:rsidR="00043363" w:rsidRPr="00237D85">
        <w:t>the tertiary sector</w:t>
      </w:r>
      <w:r w:rsidR="00043363">
        <w:t>.</w:t>
      </w:r>
    </w:p>
    <w:p w:rsidR="00064B7F" w:rsidRDefault="00043363" w:rsidP="00320CC4">
      <w:pPr>
        <w:pStyle w:val="CRPD-subsectionheading"/>
        <w:spacing w:line="240" w:lineRule="auto"/>
      </w:pPr>
      <w:r>
        <w:t>T</w:t>
      </w:r>
      <w:r w:rsidR="00064B7F" w:rsidRPr="00237D85">
        <w:t>he Government sets strategy, funds, regulates providers, and responds to concerns about provider quality. It</w:t>
      </w:r>
      <w:r w:rsidR="001248AE">
        <w:t xml:space="preserve"> </w:t>
      </w:r>
      <w:r w:rsidR="00064B7F" w:rsidRPr="00237D85">
        <w:t>supplies selected services, information and infrastructure. Providers can</w:t>
      </w:r>
      <w:r w:rsidR="001248AE">
        <w:t xml:space="preserve"> </w:t>
      </w:r>
      <w:r w:rsidR="00064B7F" w:rsidRPr="00237D85">
        <w:t>charge student services fees</w:t>
      </w:r>
      <w:r w:rsidR="00D84C94">
        <w:t>. These fees</w:t>
      </w:r>
      <w:r w:rsidR="00064B7F" w:rsidRPr="00237D85">
        <w:t xml:space="preserve"> can be</w:t>
      </w:r>
      <w:r w:rsidR="00AE6693" w:rsidRPr="00237D85">
        <w:t xml:space="preserve"> used</w:t>
      </w:r>
      <w:r w:rsidR="00064B7F" w:rsidRPr="00237D85">
        <w:t xml:space="preserve"> to support students with additional learning needs.</w:t>
      </w:r>
    </w:p>
    <w:p w:rsidR="00D84C94" w:rsidRPr="00237D85" w:rsidRDefault="001A20DB" w:rsidP="00320CC4">
      <w:pPr>
        <w:pStyle w:val="CRPD-subsectionheading"/>
        <w:spacing w:line="240" w:lineRule="auto"/>
      </w:pPr>
      <w:r>
        <w:t xml:space="preserve">The </w:t>
      </w:r>
      <w:r w:rsidR="00D84C94">
        <w:t>G</w:t>
      </w:r>
      <w:r>
        <w:t xml:space="preserve">overnment provides </w:t>
      </w:r>
      <w:r w:rsidR="00D84C94">
        <w:t>e</w:t>
      </w:r>
      <w:r>
        <w:t xml:space="preserve">quity </w:t>
      </w:r>
      <w:r w:rsidR="00D84C94">
        <w:t>f</w:t>
      </w:r>
      <w:r>
        <w:t xml:space="preserve">unding which </w:t>
      </w:r>
      <w:r w:rsidR="00043363">
        <w:t>aims</w:t>
      </w:r>
      <w:r>
        <w:t xml:space="preserve"> to improve participation in tertiary education and achievement of qualifications of </w:t>
      </w:r>
      <w:r w:rsidR="00D84C94">
        <w:t xml:space="preserve">disabled </w:t>
      </w:r>
      <w:r>
        <w:t>people.</w:t>
      </w:r>
      <w:r w:rsidR="00672F93">
        <w:t xml:space="preserve"> The Government committed to a review of equity funding to better support tertiary education organisations to improve outcomes for all learners, including disabled students and students with additional learning support needs.</w:t>
      </w:r>
      <w:r w:rsidR="00D84C94" w:rsidRPr="00D84C94">
        <w:t xml:space="preserve"> </w:t>
      </w:r>
    </w:p>
    <w:p w:rsidR="001A20DB" w:rsidRPr="00237D85" w:rsidRDefault="001A20DB" w:rsidP="00320CC4">
      <w:pPr>
        <w:pStyle w:val="CRPD-subsectionheading"/>
        <w:spacing w:line="240" w:lineRule="auto"/>
      </w:pPr>
      <w:r>
        <w:t>The</w:t>
      </w:r>
      <w:r w:rsidR="00043363">
        <w:t xml:space="preserve"> Tertiary Education Commission </w:t>
      </w:r>
      <w:r>
        <w:t>allocates funding for tertiary education</w:t>
      </w:r>
      <w:r w:rsidR="00043363">
        <w:t xml:space="preserve"> and</w:t>
      </w:r>
      <w:r>
        <w:t xml:space="preserve"> sets reporting requirements for Tertiary Education Institutions who receive </w:t>
      </w:r>
      <w:r w:rsidR="00D84C94">
        <w:t>e</w:t>
      </w:r>
      <w:r>
        <w:t xml:space="preserve">quity </w:t>
      </w:r>
      <w:r w:rsidR="00D84C94">
        <w:t>f</w:t>
      </w:r>
      <w:r>
        <w:t xml:space="preserve">unding. </w:t>
      </w:r>
    </w:p>
    <w:p w:rsidR="00064B7F" w:rsidRPr="00237D85" w:rsidRDefault="00064B7F" w:rsidP="00320CC4">
      <w:pPr>
        <w:pStyle w:val="CRPD-Questionstyle"/>
        <w:widowControl w:val="0"/>
        <w:spacing w:line="240" w:lineRule="auto"/>
        <w:rPr>
          <w:lang w:val="en-NZ"/>
        </w:rPr>
      </w:pPr>
      <w:r w:rsidRPr="00237D85">
        <w:rPr>
          <w:lang w:val="en-NZ"/>
        </w:rPr>
        <w:tab/>
        <w:t>(e)</w:t>
      </w:r>
      <w:r w:rsidRPr="00237D85">
        <w:rPr>
          <w:lang w:val="en-NZ"/>
        </w:rPr>
        <w:tab/>
        <w:t>Implement anti-bullying programmes and give redress to those children affected by bullying;</w:t>
      </w:r>
    </w:p>
    <w:p w:rsidR="00043363" w:rsidRDefault="00043363" w:rsidP="00320CC4">
      <w:pPr>
        <w:pStyle w:val="CRPD-subsectionheading"/>
        <w:spacing w:line="240" w:lineRule="auto"/>
      </w:pPr>
      <w:r>
        <w:t>Since 2015, t</w:t>
      </w:r>
      <w:r w:rsidR="00064B7F" w:rsidRPr="00237D85">
        <w:t xml:space="preserve">he </w:t>
      </w:r>
      <w:r w:rsidR="00064B7F" w:rsidRPr="00237D85">
        <w:rPr>
          <w:i/>
        </w:rPr>
        <w:t>Bullying Prevention Advisory Group</w:t>
      </w:r>
      <w:r>
        <w:rPr>
          <w:rStyle w:val="FootnoteReference"/>
          <w:i/>
        </w:rPr>
        <w:footnoteReference w:id="186"/>
      </w:r>
      <w:r w:rsidR="00672F93">
        <w:t xml:space="preserve"> </w:t>
      </w:r>
      <w:r w:rsidRPr="00237D85">
        <w:t>has develop</w:t>
      </w:r>
      <w:r>
        <w:t>ed</w:t>
      </w:r>
      <w:r w:rsidRPr="00237D85">
        <w:t xml:space="preserve"> resources to reduce bullying in schools</w:t>
      </w:r>
      <w:r>
        <w:t>.</w:t>
      </w:r>
    </w:p>
    <w:p w:rsidR="00064B7F" w:rsidRDefault="00043363" w:rsidP="00320CC4">
      <w:pPr>
        <w:pStyle w:val="CRPD-subsectionheading"/>
        <w:spacing w:line="240" w:lineRule="auto"/>
      </w:pPr>
      <w:r>
        <w:t xml:space="preserve">Following a </w:t>
      </w:r>
      <w:r w:rsidR="00064B7F" w:rsidRPr="00237D85">
        <w:t>study</w:t>
      </w:r>
      <w:r>
        <w:t xml:space="preserve"> on what works in bullying prevention</w:t>
      </w:r>
      <w:r w:rsidR="00064B7F" w:rsidRPr="00237D85">
        <w:t xml:space="preserve">, </w:t>
      </w:r>
      <w:r w:rsidR="00A2734D">
        <w:t xml:space="preserve">the Government </w:t>
      </w:r>
      <w:r w:rsidR="00064B7F" w:rsidRPr="00237D85">
        <w:t xml:space="preserve">developed the </w:t>
      </w:r>
      <w:r w:rsidR="00672F93">
        <w:rPr>
          <w:i/>
        </w:rPr>
        <w:t>Bullying-Free NZ School F</w:t>
      </w:r>
      <w:r w:rsidR="00064B7F" w:rsidRPr="00237D85">
        <w:rPr>
          <w:i/>
        </w:rPr>
        <w:t>ramework</w:t>
      </w:r>
      <w:r>
        <w:rPr>
          <w:i/>
        </w:rPr>
        <w:t xml:space="preserve">. </w:t>
      </w:r>
      <w:r>
        <w:t>The framework</w:t>
      </w:r>
      <w:r w:rsidR="00F83EFD">
        <w:t xml:space="preserve"> has</w:t>
      </w:r>
      <w:r w:rsidR="00064B7F" w:rsidRPr="00237D85">
        <w:t xml:space="preserve"> nine core components for an effective school-based bullying prevention and response approach.</w:t>
      </w:r>
    </w:p>
    <w:p w:rsidR="008F6A58" w:rsidRDefault="008F6A58" w:rsidP="00320CC4">
      <w:pPr>
        <w:pStyle w:val="CRPD-subsectionheading"/>
        <w:spacing w:line="240" w:lineRule="auto"/>
      </w:pPr>
      <w:r>
        <w:t>The</w:t>
      </w:r>
      <w:r w:rsidRPr="008F6A58">
        <w:t xml:space="preserve"> </w:t>
      </w:r>
      <w:r w:rsidRPr="00B7577F">
        <w:t>www.bullyingfree.nz</w:t>
      </w:r>
      <w:r w:rsidRPr="00043363">
        <w:rPr>
          <w:color w:val="FF0000"/>
        </w:rPr>
        <w:t xml:space="preserve"> </w:t>
      </w:r>
      <w:r w:rsidRPr="00237D85">
        <w:t>website</w:t>
      </w:r>
      <w:r w:rsidRPr="008F6A58">
        <w:t xml:space="preserve"> </w:t>
      </w:r>
      <w:r>
        <w:t>contains a wide range of related resources and</w:t>
      </w:r>
      <w:r w:rsidRPr="00237D85">
        <w:t xml:space="preserve"> information </w:t>
      </w:r>
      <w:r>
        <w:t>including</w:t>
      </w:r>
      <w:r w:rsidRPr="00237D85">
        <w:t xml:space="preserve"> the </w:t>
      </w:r>
      <w:r>
        <w:rPr>
          <w:i/>
        </w:rPr>
        <w:t>Bullying-Free NZ School F</w:t>
      </w:r>
      <w:r w:rsidRPr="00237D85">
        <w:rPr>
          <w:i/>
        </w:rPr>
        <w:t>ramework</w:t>
      </w:r>
      <w:r w:rsidRPr="00043363">
        <w:rPr>
          <w:i/>
        </w:rPr>
        <w:t xml:space="preserve"> </w:t>
      </w:r>
      <w:r>
        <w:rPr>
          <w:i/>
        </w:rPr>
        <w:t xml:space="preserve">and </w:t>
      </w:r>
      <w:r w:rsidRPr="00043363">
        <w:rPr>
          <w:i/>
        </w:rPr>
        <w:t>Toolkit</w:t>
      </w:r>
      <w:r w:rsidRPr="00237D85">
        <w:t>.</w:t>
      </w:r>
    </w:p>
    <w:p w:rsidR="008A61BD" w:rsidRDefault="008A61BD" w:rsidP="00320CC4">
      <w:pPr>
        <w:pStyle w:val="CRPD-subsectionheading"/>
        <w:spacing w:line="240" w:lineRule="auto"/>
      </w:pPr>
      <w:r>
        <w:lastRenderedPageBreak/>
        <w:t>The Government provides s</w:t>
      </w:r>
      <w:r w:rsidRPr="00237D85">
        <w:t xml:space="preserve">chools </w:t>
      </w:r>
      <w:r>
        <w:t>with</w:t>
      </w:r>
      <w:r w:rsidRPr="00237D85">
        <w:t xml:space="preserve"> free access to the Wellbeing@School survey tools, </w:t>
      </w:r>
      <w:r>
        <w:t xml:space="preserve">which </w:t>
      </w:r>
      <w:r w:rsidRPr="00237D85">
        <w:t>includ</w:t>
      </w:r>
      <w:r>
        <w:t>es</w:t>
      </w:r>
      <w:r w:rsidRPr="00237D85">
        <w:t xml:space="preserve"> sections t</w:t>
      </w:r>
      <w:r>
        <w:t>hat</w:t>
      </w:r>
      <w:r w:rsidRPr="00237D85">
        <w:t xml:space="preserve"> explore student and teacher perceptions about the extent of aggressive and bullying behaviour in their school. The survey data helps </w:t>
      </w:r>
      <w:r>
        <w:t>schools</w:t>
      </w:r>
      <w:r w:rsidRPr="00237D85">
        <w:t xml:space="preserve"> understand the level and type of bullying </w:t>
      </w:r>
      <w:r>
        <w:t>that</w:t>
      </w:r>
      <w:r w:rsidRPr="00237D85">
        <w:t xml:space="preserve"> occurs</w:t>
      </w:r>
      <w:r w:rsidR="008F6A58">
        <w:t>,</w:t>
      </w:r>
      <w:r w:rsidRPr="00237D85">
        <w:t xml:space="preserve"> whether existing efforts to reduce bullying are effective</w:t>
      </w:r>
      <w:r>
        <w:t xml:space="preserve"> and to determine the next steps </w:t>
      </w:r>
      <w:r w:rsidR="00043363">
        <w:t xml:space="preserve">for </w:t>
      </w:r>
      <w:r>
        <w:t>bullying prevention and response strategy implementation.</w:t>
      </w:r>
    </w:p>
    <w:p w:rsidR="008A61BD" w:rsidRPr="00237D85" w:rsidRDefault="008A61BD" w:rsidP="00320CC4">
      <w:pPr>
        <w:pStyle w:val="CRPD-subsectionheading"/>
        <w:spacing w:line="240" w:lineRule="auto"/>
      </w:pPr>
      <w:r>
        <w:t xml:space="preserve">High-level trends </w:t>
      </w:r>
      <w:r w:rsidR="00043363">
        <w:t>identified from</w:t>
      </w:r>
      <w:r>
        <w:t xml:space="preserve"> these tools inform Government about the effectiveness of bullying</w:t>
      </w:r>
      <w:r w:rsidR="00043363">
        <w:t>-</w:t>
      </w:r>
      <w:r>
        <w:t>related policy and strategy implementation.</w:t>
      </w:r>
    </w:p>
    <w:p w:rsidR="00064B7F" w:rsidRDefault="00A2734D" w:rsidP="00320CC4">
      <w:pPr>
        <w:pStyle w:val="CRPD-subsectionheading"/>
        <w:spacing w:line="240" w:lineRule="auto"/>
      </w:pPr>
      <w:r>
        <w:t>The Government</w:t>
      </w:r>
      <w:r w:rsidRPr="00237D85">
        <w:t xml:space="preserve"> </w:t>
      </w:r>
      <w:r w:rsidR="00064B7F" w:rsidRPr="00237D85">
        <w:t>support</w:t>
      </w:r>
      <w:r>
        <w:t>s</w:t>
      </w:r>
      <w:r w:rsidR="00064B7F" w:rsidRPr="00237D85">
        <w:t xml:space="preserve"> </w:t>
      </w:r>
      <w:r w:rsidR="00672F93">
        <w:t>an annual Bullying-Free NZ week to raise awareness of the impact</w:t>
      </w:r>
      <w:r w:rsidR="00043363">
        <w:t>s of bullying and effective pro</w:t>
      </w:r>
      <w:r w:rsidR="00672F93">
        <w:t>active prevention and response strategies</w:t>
      </w:r>
      <w:r w:rsidR="00672F93" w:rsidRPr="00237D85">
        <w:t>.</w:t>
      </w:r>
    </w:p>
    <w:p w:rsidR="00027302" w:rsidRDefault="00027302" w:rsidP="00320CC4">
      <w:pPr>
        <w:suppressAutoHyphens w:val="0"/>
        <w:spacing w:line="240" w:lineRule="auto"/>
        <w:rPr>
          <w:rFonts w:ascii="Verdana" w:hAnsi="Verdana"/>
          <w:b/>
          <w:lang w:val="en-NZ" w:eastAsia="zh-CN"/>
        </w:rPr>
      </w:pPr>
    </w:p>
    <w:p w:rsidR="00064B7F" w:rsidRPr="00237D85" w:rsidRDefault="00064B7F" w:rsidP="00320CC4">
      <w:pPr>
        <w:pStyle w:val="CRPD-Questionstyle"/>
        <w:widowControl w:val="0"/>
        <w:spacing w:line="240" w:lineRule="auto"/>
        <w:rPr>
          <w:lang w:val="en-NZ"/>
        </w:rPr>
      </w:pPr>
      <w:r w:rsidRPr="00237D85">
        <w:rPr>
          <w:lang w:val="en-NZ"/>
        </w:rPr>
        <w:tab/>
        <w:t>(f)</w:t>
      </w:r>
      <w:r w:rsidRPr="00237D85">
        <w:rPr>
          <w:lang w:val="en-NZ"/>
        </w:rPr>
        <w:tab/>
        <w:t>Eliminate gender disparities in education and ensure equal access to all levels of education and vocational training for persons with disabilities and multiple and intersectional forms of vulnerability, such as Māori and Pacific peoples, and children in vulnerable situations, in compliance with Goal 4.5 of the Sustainable Development Goals.</w:t>
      </w:r>
    </w:p>
    <w:p w:rsidR="00252D09" w:rsidRPr="00237D85" w:rsidRDefault="002426F4" w:rsidP="00320CC4">
      <w:pPr>
        <w:pStyle w:val="CRPD-subsectionheading"/>
        <w:spacing w:line="240" w:lineRule="auto"/>
      </w:pPr>
      <w:r w:rsidRPr="00B12F46">
        <w:t xml:space="preserve">We do not have any measures </w:t>
      </w:r>
      <w:r w:rsidR="008A61BD">
        <w:t xml:space="preserve">specifically </w:t>
      </w:r>
      <w:r w:rsidRPr="00B12F46">
        <w:t xml:space="preserve">to eliminate gender disparities in education and ensure equal access to all levels of education and vocational training. </w:t>
      </w:r>
      <w:r w:rsidR="00252D09" w:rsidRPr="00B12F46">
        <w:t>Instead</w:t>
      </w:r>
      <w:r w:rsidR="00252D09">
        <w:t>, t</w:t>
      </w:r>
      <w:r w:rsidR="00064B7F" w:rsidRPr="00237D85">
        <w:t xml:space="preserve">he </w:t>
      </w:r>
      <w:r w:rsidR="00252D09">
        <w:t>Government</w:t>
      </w:r>
      <w:r w:rsidR="00064B7F" w:rsidRPr="00237D85">
        <w:t xml:space="preserve"> focuse</w:t>
      </w:r>
      <w:r w:rsidR="00252D09">
        <w:t>s</w:t>
      </w:r>
      <w:r w:rsidR="00064B7F" w:rsidRPr="00237D85">
        <w:t xml:space="preserve"> on </w:t>
      </w:r>
      <w:r w:rsidR="00252D09">
        <w:t>improving</w:t>
      </w:r>
      <w:r w:rsidR="00064B7F" w:rsidRPr="00237D85">
        <w:t xml:space="preserve"> teaching</w:t>
      </w:r>
      <w:r w:rsidR="0068705D" w:rsidRPr="00237D85">
        <w:t xml:space="preserve"> </w:t>
      </w:r>
      <w:r w:rsidR="00252D09" w:rsidRPr="00237D85">
        <w:t xml:space="preserve">quality </w:t>
      </w:r>
      <w:r w:rsidR="00064B7F" w:rsidRPr="00237D85">
        <w:t>and provi</w:t>
      </w:r>
      <w:r w:rsidR="00252D09">
        <w:t xml:space="preserve">ding </w:t>
      </w:r>
      <w:r w:rsidR="00F83EFD">
        <w:t>support</w:t>
      </w:r>
      <w:r w:rsidR="00064B7F" w:rsidRPr="00237D85">
        <w:t xml:space="preserve"> </w:t>
      </w:r>
      <w:r w:rsidR="00252D09">
        <w:t>to</w:t>
      </w:r>
      <w:r w:rsidR="00064B7F" w:rsidRPr="00237D85">
        <w:t xml:space="preserve"> teachers and learning support staff</w:t>
      </w:r>
      <w:r w:rsidR="0068705D" w:rsidRPr="00237D85">
        <w:t xml:space="preserve"> </w:t>
      </w:r>
      <w:r w:rsidR="00064B7F" w:rsidRPr="00237D85">
        <w:t>to respond to the needs and interests of each learner.</w:t>
      </w:r>
      <w:r w:rsidR="001248AE">
        <w:t xml:space="preserve"> </w:t>
      </w:r>
      <w:r w:rsidR="00252D09" w:rsidRPr="00237D85">
        <w:t xml:space="preserve">We do not </w:t>
      </w:r>
      <w:r w:rsidR="00252D09">
        <w:t>collect</w:t>
      </w:r>
      <w:r w:rsidR="00252D09" w:rsidRPr="00237D85">
        <w:t xml:space="preserve"> information about differences in education for children and young people with learning support needs. </w:t>
      </w:r>
    </w:p>
    <w:p w:rsidR="00252D09" w:rsidRDefault="001A20DB" w:rsidP="00320CC4">
      <w:pPr>
        <w:pStyle w:val="CRPD-subsectionheading"/>
        <w:spacing w:line="240" w:lineRule="auto"/>
      </w:pPr>
      <w:r w:rsidRPr="00415B0A">
        <w:t xml:space="preserve">The Ongoing Resourcing Scheme (ORS) provides learning support </w:t>
      </w:r>
      <w:r w:rsidR="00415B0A" w:rsidRPr="00415B0A">
        <w:t>to 9,377</w:t>
      </w:r>
      <w:r w:rsidRPr="00415B0A">
        <w:t xml:space="preserve"> students with the highest level of need</w:t>
      </w:r>
      <w:r w:rsidR="00415B0A" w:rsidRPr="00415B0A">
        <w:t xml:space="preserve"> (1.2% of the total schooling population), as at 1</w:t>
      </w:r>
      <w:r w:rsidR="00415B0A">
        <w:t xml:space="preserve"> July 2018</w:t>
      </w:r>
      <w:r>
        <w:t>, although not all of these children and young people would consider themselves as having a disability</w:t>
      </w:r>
      <w:r w:rsidRPr="00237D85">
        <w:t>.</w:t>
      </w:r>
      <w:r>
        <w:t xml:space="preserve"> </w:t>
      </w:r>
    </w:p>
    <w:p w:rsidR="00415B0A" w:rsidRDefault="00415B0A" w:rsidP="00320CC4">
      <w:pPr>
        <w:pStyle w:val="CRPD-subsectionheading"/>
        <w:spacing w:line="240" w:lineRule="auto"/>
      </w:pPr>
      <w:r w:rsidRPr="00415B0A">
        <w:t>Boys made up 67% of students receiving ORS funding, and the ethnic distribution was similar to the general schooling population.</w:t>
      </w:r>
    </w:p>
    <w:p w:rsidR="00320CC4" w:rsidRDefault="00320CC4" w:rsidP="00320CC4">
      <w:pPr>
        <w:pStyle w:val="CRPD-subsectionheading"/>
        <w:numPr>
          <w:ilvl w:val="0"/>
          <w:numId w:val="0"/>
        </w:numPr>
        <w:spacing w:line="240" w:lineRule="auto"/>
        <w:ind w:left="1530"/>
      </w:pPr>
    </w:p>
    <w:tbl>
      <w:tblPr>
        <w:tblStyle w:val="TableGridLight1"/>
        <w:tblpPr w:leftFromText="180" w:rightFromText="180" w:vertAnchor="text" w:horzAnchor="margin" w:tblpXSpec="center" w:tblpY="758"/>
        <w:tblW w:w="3750" w:type="pct"/>
        <w:tblLook w:val="04A0" w:firstRow="1" w:lastRow="0" w:firstColumn="1" w:lastColumn="0" w:noHBand="0" w:noVBand="1"/>
      </w:tblPr>
      <w:tblGrid>
        <w:gridCol w:w="2651"/>
        <w:gridCol w:w="948"/>
        <w:gridCol w:w="948"/>
        <w:gridCol w:w="948"/>
        <w:gridCol w:w="948"/>
        <w:gridCol w:w="948"/>
      </w:tblGrid>
      <w:tr w:rsidR="001F434B" w:rsidRPr="00DF1D96" w:rsidTr="001F434B">
        <w:trPr>
          <w:trHeight w:val="611"/>
        </w:trPr>
        <w:tc>
          <w:tcPr>
            <w:tcW w:w="1793" w:type="pct"/>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p>
        </w:tc>
        <w:tc>
          <w:tcPr>
            <w:tcW w:w="641" w:type="pct"/>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2014</w:t>
            </w:r>
          </w:p>
        </w:tc>
        <w:tc>
          <w:tcPr>
            <w:tcW w:w="641" w:type="pct"/>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2015</w:t>
            </w:r>
          </w:p>
        </w:tc>
        <w:tc>
          <w:tcPr>
            <w:tcW w:w="641" w:type="pct"/>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2016</w:t>
            </w:r>
          </w:p>
        </w:tc>
        <w:tc>
          <w:tcPr>
            <w:tcW w:w="641" w:type="pct"/>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2017</w:t>
            </w:r>
          </w:p>
        </w:tc>
        <w:tc>
          <w:tcPr>
            <w:tcW w:w="641" w:type="pct"/>
          </w:tcPr>
          <w:p w:rsidR="001F434B" w:rsidRPr="00DF1D96" w:rsidRDefault="001F434B" w:rsidP="00320CC4">
            <w:pPr>
              <w:widowControl w:val="0"/>
              <w:suppressAutoHyphens w:val="0"/>
              <w:spacing w:before="144" w:after="144" w:line="240" w:lineRule="auto"/>
              <w:jc w:val="both"/>
              <w:rPr>
                <w:rFonts w:ascii="Verdana" w:hAnsi="Verdana" w:cstheme="minorBidi"/>
                <w:b/>
                <w:sz w:val="24"/>
              </w:rPr>
            </w:pPr>
            <w:r w:rsidRPr="00DF1D96">
              <w:rPr>
                <w:rFonts w:ascii="Verdana" w:hAnsi="Verdana" w:cstheme="minorBidi"/>
                <w:b/>
                <w:sz w:val="24"/>
              </w:rPr>
              <w:t>2018</w:t>
            </w:r>
          </w:p>
        </w:tc>
      </w:tr>
      <w:tr w:rsidR="001F434B" w:rsidRPr="00DF1D96" w:rsidTr="001F434B">
        <w:trPr>
          <w:trHeight w:val="312"/>
        </w:trPr>
        <w:tc>
          <w:tcPr>
            <w:tcW w:w="1793"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Number of females</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2,881</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2,917</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2,965</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3,026</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3,112</w:t>
            </w:r>
          </w:p>
        </w:tc>
      </w:tr>
      <w:tr w:rsidR="001F434B" w:rsidRPr="00DF1D96" w:rsidTr="001F434B">
        <w:trPr>
          <w:trHeight w:val="312"/>
        </w:trPr>
        <w:tc>
          <w:tcPr>
            <w:tcW w:w="1793"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Number of males</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5,478</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5,637</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5,788</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6,023</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6,265</w:t>
            </w:r>
          </w:p>
        </w:tc>
      </w:tr>
      <w:tr w:rsidR="001F434B" w:rsidRPr="00DF1D96" w:rsidTr="001F434B">
        <w:trPr>
          <w:trHeight w:val="298"/>
        </w:trPr>
        <w:tc>
          <w:tcPr>
            <w:tcW w:w="1793"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Number of Māori</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1,819</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1,878</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1,962</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2,079</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2,188</w:t>
            </w:r>
          </w:p>
        </w:tc>
      </w:tr>
      <w:tr w:rsidR="001F434B" w:rsidRPr="00DF1D96" w:rsidTr="001F434B">
        <w:trPr>
          <w:trHeight w:val="327"/>
        </w:trPr>
        <w:tc>
          <w:tcPr>
            <w:tcW w:w="1793"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Number of Pacific Peoples</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830</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878</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919</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955</w:t>
            </w:r>
          </w:p>
        </w:tc>
        <w:tc>
          <w:tcPr>
            <w:tcW w:w="641" w:type="pct"/>
          </w:tcPr>
          <w:p w:rsidR="001F434B" w:rsidRPr="00DF1D96" w:rsidRDefault="001F434B" w:rsidP="00320CC4">
            <w:pPr>
              <w:widowControl w:val="0"/>
              <w:suppressAutoHyphens w:val="0"/>
              <w:spacing w:line="240" w:lineRule="auto"/>
              <w:jc w:val="both"/>
              <w:rPr>
                <w:rFonts w:ascii="Verdana" w:hAnsi="Verdana" w:cstheme="minorBidi"/>
                <w:sz w:val="24"/>
              </w:rPr>
            </w:pPr>
            <w:r w:rsidRPr="00DF1D96">
              <w:rPr>
                <w:rFonts w:ascii="Verdana" w:hAnsi="Verdana" w:cstheme="minorBidi"/>
                <w:sz w:val="24"/>
              </w:rPr>
              <w:t>1,011</w:t>
            </w:r>
          </w:p>
        </w:tc>
      </w:tr>
    </w:tbl>
    <w:p w:rsidR="00252D09" w:rsidRDefault="00B12F46" w:rsidP="00320CC4">
      <w:pPr>
        <w:pStyle w:val="CRPD-Questionstyle"/>
        <w:spacing w:line="240" w:lineRule="auto"/>
      </w:pPr>
      <w:r w:rsidRPr="00F83EFD">
        <w:t>Table: number of students r</w:t>
      </w:r>
      <w:r w:rsidR="00252D09" w:rsidRPr="00F83EFD">
        <w:t>eceiving ORS funding</w:t>
      </w:r>
      <w:r w:rsidRPr="00F83EFD">
        <w:t xml:space="preserve"> (</w:t>
      </w:r>
      <w:r w:rsidR="008A61BD">
        <w:t xml:space="preserve">at 1 July for </w:t>
      </w:r>
      <w:r w:rsidRPr="00F83EFD">
        <w:t>2014-2017)</w:t>
      </w:r>
      <w:r w:rsidR="00C931FA">
        <w:rPr>
          <w:rStyle w:val="FootnoteReference"/>
          <w:b w:val="0"/>
        </w:rPr>
        <w:footnoteReference w:id="187"/>
      </w:r>
    </w:p>
    <w:p w:rsidR="001A20DB" w:rsidRDefault="00252D09" w:rsidP="00320CC4">
      <w:pPr>
        <w:pStyle w:val="CRPD-subsectionheading"/>
        <w:spacing w:line="240" w:lineRule="auto"/>
      </w:pPr>
      <w:r w:rsidRPr="00237D85">
        <w:t>Kaitakawaenga</w:t>
      </w:r>
      <w:r>
        <w:rPr>
          <w:rStyle w:val="FootnoteReference"/>
        </w:rPr>
        <w:footnoteReference w:id="188"/>
      </w:r>
      <w:r w:rsidRPr="00237D85">
        <w:t xml:space="preserve"> </w:t>
      </w:r>
      <w:r w:rsidR="001A20DB" w:rsidRPr="00237D85">
        <w:t>provide cultural support</w:t>
      </w:r>
      <w:r w:rsidR="00F83EFD">
        <w:t>,</w:t>
      </w:r>
      <w:r w:rsidR="001A20DB" w:rsidRPr="00237D85">
        <w:t xml:space="preserve"> identify and eliminate barriers to learning for Māori with additional learning support needs.</w:t>
      </w:r>
      <w:r w:rsidRPr="00252D09">
        <w:t xml:space="preserve"> </w:t>
      </w:r>
      <w:r w:rsidRPr="00237D85">
        <w:t>Kaitakawaenga work with Māori tamariki</w:t>
      </w:r>
      <w:r>
        <w:rPr>
          <w:rStyle w:val="FootnoteReference"/>
        </w:rPr>
        <w:footnoteReference w:id="189"/>
      </w:r>
      <w:r w:rsidR="00F83EFD">
        <w:t xml:space="preserve">, </w:t>
      </w:r>
      <w:r w:rsidRPr="00237D85">
        <w:t>their whānau</w:t>
      </w:r>
      <w:r>
        <w:rPr>
          <w:rStyle w:val="FootnoteReference"/>
        </w:rPr>
        <w:footnoteReference w:id="190"/>
      </w:r>
      <w:r w:rsidRPr="00237D85">
        <w:t>, hapū</w:t>
      </w:r>
      <w:r>
        <w:rPr>
          <w:rStyle w:val="FootnoteReference"/>
        </w:rPr>
        <w:footnoteReference w:id="191"/>
      </w:r>
      <w:r w:rsidR="00F83EFD">
        <w:t>,</w:t>
      </w:r>
      <w:r w:rsidRPr="00237D85">
        <w:t xml:space="preserve"> iwi</w:t>
      </w:r>
      <w:r>
        <w:rPr>
          <w:rStyle w:val="FootnoteReference"/>
        </w:rPr>
        <w:footnoteReference w:id="192"/>
      </w:r>
      <w:r>
        <w:t>, education facilities</w:t>
      </w:r>
      <w:r w:rsidRPr="00237D85">
        <w:t xml:space="preserve"> and Ministry of Education staff</w:t>
      </w:r>
      <w:r>
        <w:t>.</w:t>
      </w:r>
    </w:p>
    <w:p w:rsidR="001A20DB" w:rsidRDefault="001A20DB" w:rsidP="00320CC4">
      <w:pPr>
        <w:pStyle w:val="CRPD-subsectionheading"/>
        <w:spacing w:line="240" w:lineRule="auto"/>
      </w:pPr>
      <w:r>
        <w:t xml:space="preserve">We </w:t>
      </w:r>
      <w:r w:rsidR="00252D09">
        <w:t>do not have</w:t>
      </w:r>
      <w:r>
        <w:t xml:space="preserve"> data on children in vulnerable situations. </w:t>
      </w:r>
    </w:p>
    <w:p w:rsidR="001A20DB" w:rsidRPr="00237D85" w:rsidRDefault="001A20DB" w:rsidP="00320CC4">
      <w:pPr>
        <w:pStyle w:val="CRPD-subsectionheading"/>
        <w:spacing w:line="240" w:lineRule="auto"/>
      </w:pPr>
      <w:r>
        <w:t xml:space="preserve">The </w:t>
      </w:r>
      <w:r w:rsidR="00252D09">
        <w:t xml:space="preserve">Government </w:t>
      </w:r>
      <w:r>
        <w:t>is</w:t>
      </w:r>
      <w:r w:rsidR="008A61BD">
        <w:t xml:space="preserve"> currently consulting on proposed changes to</w:t>
      </w:r>
      <w:r>
        <w:t xml:space="preserve"> the vocational education and training system. Government’s vision is for a high quality, highly regarded and inclusive education system that </w:t>
      </w:r>
      <w:r w:rsidR="00F83EFD">
        <w:t>supports social outcomes among other outcomes</w:t>
      </w:r>
      <w:r>
        <w:t>. One of the</w:t>
      </w:r>
      <w:r w:rsidR="00F83EFD">
        <w:t xml:space="preserve"> review’s</w:t>
      </w:r>
      <w:r>
        <w:t xml:space="preserve"> </w:t>
      </w:r>
      <w:r w:rsidR="00252D09">
        <w:t xml:space="preserve">aims </w:t>
      </w:r>
      <w:r>
        <w:t>is to have “a system that is effective for a diverse range of learners”</w:t>
      </w:r>
      <w:r w:rsidR="00F83EFD">
        <w:t xml:space="preserve"> including </w:t>
      </w:r>
      <w:r w:rsidR="00252D09">
        <w:t xml:space="preserve">disabled </w:t>
      </w:r>
      <w:r>
        <w:t>students and students with additional learning support needs.</w:t>
      </w:r>
    </w:p>
    <w:p w:rsidR="006F7302" w:rsidRDefault="006F7302" w:rsidP="00320CC4">
      <w:pPr>
        <w:pStyle w:val="CRPD-Questionstyle"/>
        <w:widowControl w:val="0"/>
        <w:spacing w:line="240" w:lineRule="auto"/>
        <w:rPr>
          <w:lang w:val="en-NZ"/>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Health (art. 25)</w:t>
      </w:r>
    </w:p>
    <w:p w:rsidR="00064B7F" w:rsidRPr="00237D85" w:rsidRDefault="00064B7F" w:rsidP="00320CC4">
      <w:pPr>
        <w:pStyle w:val="CRPD-Questionstyle"/>
        <w:widowControl w:val="0"/>
        <w:spacing w:line="240" w:lineRule="auto"/>
        <w:rPr>
          <w:lang w:val="en-NZ"/>
        </w:rPr>
      </w:pPr>
      <w:r w:rsidRPr="00237D85">
        <w:rPr>
          <w:lang w:val="en-NZ"/>
        </w:rPr>
        <w:t>23.</w:t>
      </w:r>
      <w:r w:rsidRPr="00237D85">
        <w:rPr>
          <w:lang w:val="en-NZ"/>
        </w:rPr>
        <w:tab/>
        <w:t xml:space="preserve"> </w:t>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Measures taken to ensure access to full health care for all persons with disabilities, including persons with disabilities whose disabilities are a result of health conditions that require specialist services;</w:t>
      </w:r>
    </w:p>
    <w:p w:rsidR="00E964E3" w:rsidRDefault="00E964E3" w:rsidP="00320CC4">
      <w:pPr>
        <w:pStyle w:val="CRPD-subsectionheading"/>
        <w:spacing w:line="240" w:lineRule="auto"/>
      </w:pPr>
      <w:r>
        <w:lastRenderedPageBreak/>
        <w:t xml:space="preserve">The </w:t>
      </w:r>
      <w:r w:rsidR="002D21E1">
        <w:rPr>
          <w:i/>
        </w:rPr>
        <w:t>Disability Strategy</w:t>
      </w:r>
      <w:r w:rsidR="00F83EFD">
        <w:t>,</w:t>
      </w:r>
      <w:r w:rsidR="0048577E">
        <w:rPr>
          <w:i/>
        </w:rPr>
        <w:t xml:space="preserve"> </w:t>
      </w:r>
      <w:r w:rsidR="0048577E">
        <w:t>Outcome 3 for improving health and wellbeing</w:t>
      </w:r>
      <w:r>
        <w:t xml:space="preserve"> requires that disabled people have the highest attainable standard of health and wellbeing</w:t>
      </w:r>
      <w:r>
        <w:rPr>
          <w:rStyle w:val="FootnoteReference"/>
        </w:rPr>
        <w:footnoteReference w:id="193"/>
      </w:r>
      <w:r>
        <w:t>.</w:t>
      </w:r>
      <w:r w:rsidR="0048577E" w:rsidRPr="0048577E">
        <w:t xml:space="preserve"> A key concern of Outcome 3 is that disabled people do not face barriers </w:t>
      </w:r>
      <w:r w:rsidR="00880E4D">
        <w:t xml:space="preserve">to </w:t>
      </w:r>
      <w:r w:rsidR="0048577E" w:rsidRPr="0048577E">
        <w:t>accessing mainstream h</w:t>
      </w:r>
      <w:r w:rsidR="0048577E">
        <w:t>ealth services because of their impairments. The</w:t>
      </w:r>
      <w:r w:rsidR="0048577E" w:rsidRPr="0048577E">
        <w:t xml:space="preserve"> disability needs of individuals need to be </w:t>
      </w:r>
      <w:r w:rsidR="00F83EFD">
        <w:t>considered</w:t>
      </w:r>
      <w:r w:rsidR="0048577E" w:rsidRPr="0048577E">
        <w:t xml:space="preserve"> including that information about health services is available in </w:t>
      </w:r>
      <w:r w:rsidR="00F83EFD">
        <w:t xml:space="preserve">accessible </w:t>
      </w:r>
      <w:r w:rsidR="0048577E" w:rsidRPr="0048577E">
        <w:t>formats</w:t>
      </w:r>
      <w:r w:rsidR="0048577E">
        <w:t>.</w:t>
      </w:r>
    </w:p>
    <w:p w:rsidR="00643362" w:rsidRDefault="00D9639E" w:rsidP="00320CC4">
      <w:pPr>
        <w:pStyle w:val="CRPD-subsectionheading"/>
        <w:spacing w:line="240" w:lineRule="auto"/>
      </w:pPr>
      <w:r>
        <w:t xml:space="preserve">Action 9(c), </w:t>
      </w:r>
      <w:r w:rsidR="00064B7F" w:rsidRPr="00643362">
        <w:rPr>
          <w:i/>
        </w:rPr>
        <w:t>Disability Action Plan 2014-2018</w:t>
      </w:r>
      <w:r w:rsidRPr="00643362">
        <w:rPr>
          <w:i/>
        </w:rPr>
        <w:t>,</w:t>
      </w:r>
      <w:r w:rsidR="00064B7F" w:rsidRPr="00643362">
        <w:rPr>
          <w:i/>
        </w:rPr>
        <w:t xml:space="preserve"> </w:t>
      </w:r>
      <w:r>
        <w:t>aims</w:t>
      </w:r>
      <w:r w:rsidR="00064B7F" w:rsidRPr="00643362">
        <w:rPr>
          <w:i/>
        </w:rPr>
        <w:t xml:space="preserve"> </w:t>
      </w:r>
      <w:r w:rsidR="00064B7F" w:rsidRPr="00237D85">
        <w:t xml:space="preserve">to improve access to health services for people with learning/intellectual disabilities. </w:t>
      </w:r>
      <w:r w:rsidR="008F6A58">
        <w:t>Ministers have received a</w:t>
      </w:r>
      <w:r w:rsidR="00643362">
        <w:t xml:space="preserve">dvice </w:t>
      </w:r>
      <w:r w:rsidR="00643362" w:rsidRPr="001D4789">
        <w:t xml:space="preserve">with </w:t>
      </w:r>
      <w:r w:rsidR="00643362">
        <w:t>proposed actions to improve the health outcomes</w:t>
      </w:r>
      <w:r w:rsidR="008F6A58">
        <w:t>,</w:t>
      </w:r>
      <w:r w:rsidR="00643362" w:rsidRPr="001D4789">
        <w:t xml:space="preserve"> and </w:t>
      </w:r>
      <w:r w:rsidR="00643362">
        <w:t>access to services</w:t>
      </w:r>
      <w:r w:rsidR="008F6A58">
        <w:t>,</w:t>
      </w:r>
      <w:r w:rsidR="00643362">
        <w:t xml:space="preserve"> for people </w:t>
      </w:r>
      <w:r w:rsidR="008F6A58">
        <w:t xml:space="preserve">with </w:t>
      </w:r>
      <w:r w:rsidR="00643362">
        <w:t xml:space="preserve">a learning/intellectual disability </w:t>
      </w:r>
      <w:r w:rsidR="00643362" w:rsidRPr="002C46E3">
        <w:t>(see question 5(f)).</w:t>
      </w:r>
      <w:r w:rsidR="00643362" w:rsidRPr="0048577E">
        <w:t xml:space="preserve"> This work </w:t>
      </w:r>
      <w:r w:rsidR="008F6A58">
        <w:t xml:space="preserve">has been </w:t>
      </w:r>
      <w:r w:rsidR="00643362" w:rsidRPr="0048577E">
        <w:t xml:space="preserve">informed by disabled people </w:t>
      </w:r>
      <w:r w:rsidR="00643362">
        <w:t>and</w:t>
      </w:r>
      <w:r w:rsidR="00643362" w:rsidRPr="0048577E">
        <w:t xml:space="preserve"> research</w:t>
      </w:r>
      <w:r w:rsidR="00643362">
        <w:rPr>
          <w:rStyle w:val="FootnoteReference"/>
        </w:rPr>
        <w:footnoteReference w:id="194"/>
      </w:r>
      <w:r w:rsidR="00643362">
        <w:t>.</w:t>
      </w:r>
      <w:r w:rsidR="00643362" w:rsidRPr="0048577E">
        <w:t xml:space="preserve"> </w:t>
      </w:r>
    </w:p>
    <w:p w:rsidR="00027302" w:rsidRDefault="00027302" w:rsidP="00320CC4">
      <w:pPr>
        <w:suppressAutoHyphens w:val="0"/>
        <w:spacing w:line="240" w:lineRule="auto"/>
        <w:rPr>
          <w:rFonts w:ascii="Verdana" w:hAnsi="Verdana"/>
          <w:b/>
          <w:lang w:val="en-NZ" w:eastAsia="zh-CN"/>
        </w:rPr>
      </w:pP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Measures taken to enhance the health outcomes of Māori and Pacific peoples with disabilities, among whom the prevalence of disability is higher because of poverty and disadvantages;</w:t>
      </w:r>
    </w:p>
    <w:p w:rsidR="00B9365D" w:rsidRPr="00B9365D" w:rsidRDefault="00B9365D" w:rsidP="00320CC4">
      <w:pPr>
        <w:pStyle w:val="CRPD-subsectionheading"/>
        <w:spacing w:line="240" w:lineRule="auto"/>
      </w:pPr>
      <w:r w:rsidRPr="00B9365D">
        <w:t>Health inequities are most pronounced for Māori compared with ot</w:t>
      </w:r>
      <w:r w:rsidR="008F6A58">
        <w:t xml:space="preserve">her groups. </w:t>
      </w:r>
      <w:r w:rsidRPr="00B9365D">
        <w:t xml:space="preserve">The Government </w:t>
      </w:r>
      <w:r w:rsidR="00B45D1A">
        <w:t>requires a focus on improving Mā</w:t>
      </w:r>
      <w:r w:rsidRPr="00B9365D">
        <w:t>ori heal</w:t>
      </w:r>
      <w:r w:rsidR="00B45D1A">
        <w:t>th and addressing equity gaps. M</w:t>
      </w:r>
      <w:r w:rsidRPr="00B9365D">
        <w:t>easures being taken by the Ministry</w:t>
      </w:r>
      <w:r w:rsidR="00B45D1A">
        <w:t xml:space="preserve"> of Health include</w:t>
      </w:r>
      <w:r w:rsidRPr="00B9365D">
        <w:t>:</w:t>
      </w:r>
    </w:p>
    <w:p w:rsidR="00B9365D" w:rsidRPr="00B9365D" w:rsidRDefault="00B45D1A" w:rsidP="00320CC4">
      <w:pPr>
        <w:pStyle w:val="CRPDStateParty-bullets"/>
        <w:spacing w:line="240" w:lineRule="auto"/>
      </w:pPr>
      <w:r>
        <w:t>a</w:t>
      </w:r>
      <w:r w:rsidR="00B9365D" w:rsidRPr="00B9365D">
        <w:t xml:space="preserve"> Māori Health Action </w:t>
      </w:r>
      <w:r w:rsidR="002E07BD">
        <w:t>P</w:t>
      </w:r>
      <w:r w:rsidR="00B9365D" w:rsidRPr="00B9365D">
        <w:t xml:space="preserve">lan being developed in 2019 to implement </w:t>
      </w:r>
      <w:r w:rsidR="00B9365D" w:rsidRPr="00B45D1A">
        <w:rPr>
          <w:i/>
        </w:rPr>
        <w:t>He Korowai Or</w:t>
      </w:r>
      <w:r w:rsidRPr="00B45D1A">
        <w:rPr>
          <w:i/>
        </w:rPr>
        <w:t>anga</w:t>
      </w:r>
      <w:r w:rsidR="008F6A58" w:rsidRPr="002E07BD">
        <w:rPr>
          <w:rStyle w:val="FootnoteReference"/>
        </w:rPr>
        <w:footnoteReference w:id="195"/>
      </w:r>
      <w:r w:rsidRPr="002E07BD">
        <w:t>,</w:t>
      </w:r>
      <w:r w:rsidRPr="00B45D1A">
        <w:rPr>
          <w:i/>
        </w:rPr>
        <w:t xml:space="preserve"> the Mā</w:t>
      </w:r>
      <w:r w:rsidR="00B9365D" w:rsidRPr="00B45D1A">
        <w:rPr>
          <w:i/>
        </w:rPr>
        <w:t>ori health strategy</w:t>
      </w:r>
      <w:r w:rsidR="002E07BD">
        <w:rPr>
          <w:rStyle w:val="FootnoteReference"/>
          <w:i/>
        </w:rPr>
        <w:footnoteReference w:id="196"/>
      </w:r>
    </w:p>
    <w:p w:rsidR="00B9365D" w:rsidRPr="00B9365D" w:rsidRDefault="00B45D1A" w:rsidP="00320CC4">
      <w:pPr>
        <w:pStyle w:val="CRPDStateParty-bullets"/>
        <w:spacing w:line="240" w:lineRule="auto"/>
      </w:pPr>
      <w:r>
        <w:t>e</w:t>
      </w:r>
      <w:r w:rsidR="00B9365D" w:rsidRPr="00B9365D">
        <w:t xml:space="preserve">ach year </w:t>
      </w:r>
      <w:r>
        <w:t>District Health Boards</w:t>
      </w:r>
      <w:r w:rsidR="00B9365D" w:rsidRPr="00B9365D">
        <w:t xml:space="preserve"> </w:t>
      </w:r>
      <w:r>
        <w:t>must</w:t>
      </w:r>
      <w:r w:rsidR="00B9365D" w:rsidRPr="00B9365D">
        <w:t xml:space="preserve"> identify specific actions to </w:t>
      </w:r>
      <w:r>
        <w:t>achieve health equity for Mā</w:t>
      </w:r>
      <w:r w:rsidR="00B9365D" w:rsidRPr="00B9365D">
        <w:t>ori in their annual planning documents</w:t>
      </w:r>
    </w:p>
    <w:p w:rsidR="00B9365D" w:rsidRPr="00B9365D" w:rsidRDefault="00B9365D" w:rsidP="00320CC4">
      <w:pPr>
        <w:pStyle w:val="CRPDStateParty-bullets"/>
        <w:spacing w:line="240" w:lineRule="auto"/>
      </w:pPr>
      <w:r w:rsidRPr="00B45D1A">
        <w:rPr>
          <w:i/>
        </w:rPr>
        <w:t>Whāia Te Ao Mārama</w:t>
      </w:r>
      <w:r w:rsidR="008F6A58">
        <w:rPr>
          <w:rStyle w:val="FootnoteReference"/>
          <w:i/>
        </w:rPr>
        <w:footnoteReference w:id="197"/>
      </w:r>
      <w:r w:rsidRPr="00B45D1A">
        <w:rPr>
          <w:i/>
        </w:rPr>
        <w:t xml:space="preserve"> 2018 to 2022: The Māori Disability Action Plan</w:t>
      </w:r>
      <w:r w:rsidRPr="00B9365D">
        <w:t xml:space="preserve"> was updated in April 2018</w:t>
      </w:r>
      <w:r w:rsidR="002E07BD">
        <w:rPr>
          <w:rStyle w:val="FootnoteReference"/>
        </w:rPr>
        <w:footnoteReference w:id="198"/>
      </w:r>
      <w:r w:rsidRPr="00B9365D">
        <w:t>.</w:t>
      </w:r>
      <w:r w:rsidRPr="00B9365D">
        <w:rPr>
          <w:vertAlign w:val="superscript"/>
        </w:rPr>
        <w:t xml:space="preserve"> </w:t>
      </w:r>
      <w:r w:rsidRPr="00B9365D">
        <w:t>The implementation plan will be updated by June 2019</w:t>
      </w:r>
    </w:p>
    <w:p w:rsidR="00B9365D" w:rsidRPr="00B9365D" w:rsidRDefault="00B45D1A" w:rsidP="00320CC4">
      <w:pPr>
        <w:pStyle w:val="CRPDStateParty-bullets"/>
        <w:spacing w:line="240" w:lineRule="auto"/>
      </w:pPr>
      <w:r>
        <w:t>t</w:t>
      </w:r>
      <w:r w:rsidR="00B9365D" w:rsidRPr="00B9365D">
        <w:t xml:space="preserve">he Ministry is supporting Waitangi Tribunal Māori disability research on outcomes for </w:t>
      </w:r>
      <w:r>
        <w:t xml:space="preserve">disabled </w:t>
      </w:r>
      <w:r w:rsidR="00B9365D" w:rsidRPr="00B9365D">
        <w:t xml:space="preserve">Māori. </w:t>
      </w:r>
      <w:r w:rsidR="00B9365D" w:rsidRPr="00B9365D">
        <w:lastRenderedPageBreak/>
        <w:t xml:space="preserve">The report is due </w:t>
      </w:r>
      <w:r>
        <w:t>in</w:t>
      </w:r>
      <w:r w:rsidR="00B9365D" w:rsidRPr="00B9365D">
        <w:t xml:space="preserve"> June 2019 and will support the </w:t>
      </w:r>
      <w:r>
        <w:t>Government’s</w:t>
      </w:r>
      <w:r w:rsidR="00B9365D" w:rsidRPr="00B9365D">
        <w:t xml:space="preserve"> response to the Health Services and Outcomes Kaupapa Inquiry</w:t>
      </w:r>
      <w:r w:rsidR="00682E08">
        <w:rPr>
          <w:rStyle w:val="FootnoteReference"/>
        </w:rPr>
        <w:footnoteReference w:id="199"/>
      </w:r>
      <w:r w:rsidR="00682E08">
        <w:t>.</w:t>
      </w:r>
    </w:p>
    <w:p w:rsidR="00B9365D" w:rsidRPr="00B9365D" w:rsidRDefault="00B9365D" w:rsidP="00320CC4">
      <w:pPr>
        <w:pStyle w:val="CRPD-subsectionheading"/>
        <w:spacing w:line="240" w:lineRule="auto"/>
      </w:pPr>
      <w:r w:rsidRPr="00B9365D">
        <w:t xml:space="preserve">Measures being taken to support better outcomes for Pacific disabled </w:t>
      </w:r>
      <w:r w:rsidR="00B45D1A">
        <w:t xml:space="preserve">people </w:t>
      </w:r>
      <w:r w:rsidRPr="00B9365D">
        <w:t>include:</w:t>
      </w:r>
    </w:p>
    <w:p w:rsidR="00B9365D" w:rsidRPr="00B9365D" w:rsidRDefault="00B9365D" w:rsidP="00320CC4">
      <w:pPr>
        <w:pStyle w:val="CRPDStateParty-bullets"/>
        <w:spacing w:line="240" w:lineRule="auto"/>
      </w:pPr>
      <w:r w:rsidRPr="00B45D1A">
        <w:rPr>
          <w:i/>
        </w:rPr>
        <w:t>‘Ala Mo’ui: Pathways to Pacific Health and Wellbeing 2014-2018</w:t>
      </w:r>
      <w:r w:rsidRPr="00B9365D">
        <w:t xml:space="preserve"> is being updated in 2019</w:t>
      </w:r>
      <w:r w:rsidRPr="00B9365D">
        <w:rPr>
          <w:vertAlign w:val="superscript"/>
        </w:rPr>
        <w:footnoteReference w:id="200"/>
      </w:r>
      <w:r w:rsidRPr="00B9365D">
        <w:rPr>
          <w:vertAlign w:val="superscript"/>
        </w:rPr>
        <w:t xml:space="preserve"> </w:t>
      </w:r>
    </w:p>
    <w:p w:rsidR="00B9365D" w:rsidRPr="00B9365D" w:rsidRDefault="00B9365D" w:rsidP="00320CC4">
      <w:pPr>
        <w:pStyle w:val="CRPDStateParty-bullets"/>
        <w:spacing w:line="240" w:lineRule="auto"/>
      </w:pPr>
      <w:r w:rsidRPr="00B45D1A">
        <w:rPr>
          <w:i/>
        </w:rPr>
        <w:t>Faiva Ora</w:t>
      </w:r>
      <w:r w:rsidR="00DB21B5" w:rsidRPr="00B9365D">
        <w:rPr>
          <w:vertAlign w:val="superscript"/>
        </w:rPr>
        <w:footnoteReference w:id="201"/>
      </w:r>
      <w:r w:rsidRPr="00B45D1A">
        <w:rPr>
          <w:i/>
        </w:rPr>
        <w:t xml:space="preserve"> 2016-2021: National Pasifika Disability Plan</w:t>
      </w:r>
      <w:r w:rsidRPr="00B9365D">
        <w:t xml:space="preserve"> was updated in August 2017. Actions are guided by an implementation plan and support from the Faiva Ora Leadership Group, which meets six-monthly</w:t>
      </w:r>
      <w:r w:rsidRPr="00B9365D">
        <w:rPr>
          <w:vertAlign w:val="superscript"/>
        </w:rPr>
        <w:footnoteReference w:id="202"/>
      </w:r>
    </w:p>
    <w:p w:rsidR="00064B7F" w:rsidRDefault="00B45D1A" w:rsidP="00320CC4">
      <w:pPr>
        <w:pStyle w:val="CRPDStateParty-bullets"/>
        <w:spacing w:line="240" w:lineRule="auto"/>
      </w:pPr>
      <w:r>
        <w:t>t</w:t>
      </w:r>
      <w:r w:rsidR="00B9365D" w:rsidRPr="00B9365D">
        <w:t>he Ministry has initiated a cross-agency forum to p</w:t>
      </w:r>
      <w:r w:rsidR="00DB21B5">
        <w:t>romote collaboration, knowledge-sharing and problem-</w:t>
      </w:r>
      <w:r w:rsidR="00B9365D" w:rsidRPr="00B9365D">
        <w:t>solving on Pacific disability issues</w:t>
      </w:r>
      <w:r>
        <w:t>.</w:t>
      </w:r>
    </w:p>
    <w:p w:rsidR="00064B7F" w:rsidRPr="00237D85" w:rsidRDefault="00064B7F" w:rsidP="00320CC4">
      <w:pPr>
        <w:pStyle w:val="CRPD-Questionstyle"/>
        <w:widowControl w:val="0"/>
        <w:spacing w:line="240" w:lineRule="auto"/>
        <w:rPr>
          <w:lang w:val="en-NZ"/>
        </w:rPr>
      </w:pPr>
      <w:r w:rsidRPr="00237D85">
        <w:rPr>
          <w:lang w:val="en-NZ"/>
        </w:rPr>
        <w:tab/>
        <w:t>(c)</w:t>
      </w:r>
      <w:r w:rsidRPr="00237D85">
        <w:rPr>
          <w:lang w:val="en-NZ"/>
        </w:rPr>
        <w:tab/>
        <w:t>Steps taken to include people with dementia and other cognitive losses among its health priorities.</w:t>
      </w:r>
    </w:p>
    <w:p w:rsidR="00495B2F" w:rsidRPr="00495B2F" w:rsidRDefault="00495B2F" w:rsidP="00320CC4">
      <w:pPr>
        <w:pStyle w:val="CRPD-subsectionheading"/>
        <w:spacing w:line="240" w:lineRule="auto"/>
      </w:pPr>
      <w:r w:rsidRPr="00495B2F">
        <w:t>The Government recognises</w:t>
      </w:r>
      <w:r>
        <w:t>,</w:t>
      </w:r>
      <w:r w:rsidRPr="00495B2F">
        <w:t xml:space="preserve"> and has begun responding to</w:t>
      </w:r>
      <w:r>
        <w:t>,</w:t>
      </w:r>
      <w:r w:rsidRPr="00495B2F">
        <w:t xml:space="preserve"> the significant economic and social challenges that dementia poses.</w:t>
      </w:r>
    </w:p>
    <w:p w:rsidR="00064B7F" w:rsidRPr="00237D85" w:rsidRDefault="00064B7F" w:rsidP="00320CC4">
      <w:pPr>
        <w:pStyle w:val="CRPD-subsectionheading"/>
        <w:spacing w:line="240" w:lineRule="auto"/>
      </w:pPr>
      <w:r w:rsidRPr="00237D85">
        <w:t xml:space="preserve">The </w:t>
      </w:r>
      <w:r w:rsidR="002D21E1">
        <w:rPr>
          <w:rStyle w:val="CRPDStateParty-bodyitalicsChar"/>
          <w:noProof w:val="0"/>
        </w:rPr>
        <w:t>NZ</w:t>
      </w:r>
      <w:r w:rsidRPr="00237D85">
        <w:rPr>
          <w:rStyle w:val="CRPDStateParty-bodyitalicsChar"/>
          <w:noProof w:val="0"/>
        </w:rPr>
        <w:t xml:space="preserve"> Framework for Dementia Care 2013</w:t>
      </w:r>
      <w:r w:rsidRPr="00237D85">
        <w:rPr>
          <w:i/>
        </w:rPr>
        <w:t xml:space="preserve"> </w:t>
      </w:r>
      <w:r w:rsidRPr="00237D85">
        <w:rPr>
          <w:rStyle w:val="FootnoteReference"/>
        </w:rPr>
        <w:footnoteReference w:id="203"/>
      </w:r>
      <w:r w:rsidRPr="00237D85">
        <w:t xml:space="preserve"> sets an agreed, overarching direction for dementia diagnosis, care and support. </w:t>
      </w:r>
    </w:p>
    <w:p w:rsidR="00495B2F" w:rsidRPr="00495B2F" w:rsidRDefault="00CA1045" w:rsidP="00320CC4">
      <w:pPr>
        <w:pStyle w:val="CRPD-subsectionheading"/>
        <w:spacing w:line="240" w:lineRule="auto"/>
      </w:pPr>
      <w:r>
        <w:rPr>
          <w:rStyle w:val="CRPDStateParty-bodyitalicsChar"/>
          <w:noProof w:val="0"/>
        </w:rPr>
        <w:t>Dementia care p</w:t>
      </w:r>
      <w:r w:rsidR="00064B7F" w:rsidRPr="00237D85">
        <w:rPr>
          <w:rStyle w:val="CRPDStateParty-bodyitalicsChar"/>
          <w:noProof w:val="0"/>
        </w:rPr>
        <w:t>athways</w:t>
      </w:r>
      <w:r w:rsidR="00064B7F" w:rsidRPr="00237D85">
        <w:t xml:space="preserve"> deliver proactive, coordinated care and support throughout a person</w:t>
      </w:r>
      <w:r w:rsidR="0080562E" w:rsidRPr="00237D85">
        <w:t>’s</w:t>
      </w:r>
      <w:r w:rsidR="00DB21B5">
        <w:t>,</w:t>
      </w:r>
      <w:r>
        <w:t xml:space="preserve"> </w:t>
      </w:r>
      <w:r w:rsidR="00064B7F" w:rsidRPr="00237D85">
        <w:t>and their family’s</w:t>
      </w:r>
      <w:r w:rsidR="00DB21B5">
        <w:t>,</w:t>
      </w:r>
      <w:r w:rsidR="00064B7F" w:rsidRPr="00237D85">
        <w:t xml:space="preserve"> journey with dementia. </w:t>
      </w:r>
      <w:r w:rsidR="00495B2F" w:rsidRPr="00495B2F">
        <w:t xml:space="preserve">A key focus for districts has been on improving and implementing services and the </w:t>
      </w:r>
      <w:r w:rsidR="00495B2F" w:rsidRPr="00495B2F">
        <w:rPr>
          <w:i/>
        </w:rPr>
        <w:t>dementia care pathways</w:t>
      </w:r>
      <w:r w:rsidR="00495B2F" w:rsidRPr="00495B2F">
        <w:t>.</w:t>
      </w:r>
      <w:r w:rsidR="00495B2F">
        <w:t xml:space="preserve"> </w:t>
      </w:r>
      <w:r w:rsidR="00495B2F" w:rsidRPr="00495B2F">
        <w:t xml:space="preserve">A dementia pathway </w:t>
      </w:r>
      <w:r w:rsidR="002C46E3">
        <w:t xml:space="preserve">is under development </w:t>
      </w:r>
      <w:r w:rsidR="00495B2F" w:rsidRPr="00495B2F">
        <w:t>for people with intellectual disabilit</w:t>
      </w:r>
      <w:r w:rsidR="002C46E3">
        <w:t>ies (</w:t>
      </w:r>
      <w:r w:rsidR="00495B2F" w:rsidRPr="00495B2F">
        <w:t xml:space="preserve">particularly </w:t>
      </w:r>
      <w:r w:rsidR="002C46E3">
        <w:t>D</w:t>
      </w:r>
      <w:r w:rsidR="00495B2F" w:rsidRPr="00495B2F">
        <w:t>own Syndrome</w:t>
      </w:r>
      <w:r w:rsidR="002C46E3">
        <w:t>)</w:t>
      </w:r>
      <w:r w:rsidR="00495B2F" w:rsidRPr="00495B2F">
        <w:t>.</w:t>
      </w:r>
    </w:p>
    <w:p w:rsidR="00495B2F" w:rsidRDefault="00CA1045" w:rsidP="00320CC4">
      <w:pPr>
        <w:pStyle w:val="CRPD-subsectionheading"/>
        <w:spacing w:line="240" w:lineRule="auto"/>
      </w:pPr>
      <w:r>
        <w:lastRenderedPageBreak/>
        <w:t>Greater</w:t>
      </w:r>
      <w:r w:rsidR="00064B7F" w:rsidRPr="00237D85">
        <w:t xml:space="preserve"> collaboration across local, regional and national dementia services </w:t>
      </w:r>
      <w:r>
        <w:t>has improv</w:t>
      </w:r>
      <w:r w:rsidR="008944C0">
        <w:t>ed</w:t>
      </w:r>
      <w:r w:rsidR="00064B7F" w:rsidRPr="00237D85">
        <w:t xml:space="preserve"> dementia diagnosis and management. For example, </w:t>
      </w:r>
      <w:r w:rsidR="008944C0">
        <w:t>we have</w:t>
      </w:r>
      <w:r w:rsidR="00495B2F">
        <w:t>:</w:t>
      </w:r>
    </w:p>
    <w:p w:rsidR="00495B2F" w:rsidRPr="00540365" w:rsidRDefault="00064B7F" w:rsidP="00320CC4">
      <w:pPr>
        <w:pStyle w:val="CRPDStateParty-bullets"/>
        <w:widowControl w:val="0"/>
        <w:spacing w:line="240" w:lineRule="auto"/>
        <w:rPr>
          <w:rStyle w:val="CRPDStateParty-bodyitalicsChar"/>
          <w:rFonts w:eastAsia="SimSun"/>
          <w:i w:val="0"/>
          <w:noProof w:val="0"/>
          <w:lang w:val="en-GB"/>
        </w:rPr>
      </w:pPr>
      <w:r w:rsidRPr="00540365">
        <w:rPr>
          <w:rStyle w:val="CRPDStateParty-bodyitalicsChar"/>
          <w:rFonts w:eastAsia="SimSun"/>
          <w:i w:val="0"/>
          <w:noProof w:val="0"/>
          <w:lang w:val="en-GB"/>
        </w:rPr>
        <w:t>train</w:t>
      </w:r>
      <w:r w:rsidR="008944C0" w:rsidRPr="00540365">
        <w:rPr>
          <w:rStyle w:val="CRPDStateParty-bodyitalicsChar"/>
          <w:rFonts w:eastAsia="SimSun"/>
          <w:i w:val="0"/>
          <w:noProof w:val="0"/>
          <w:lang w:val="en-GB"/>
        </w:rPr>
        <w:t>ed</w:t>
      </w:r>
      <w:r w:rsidRPr="00540365">
        <w:rPr>
          <w:rStyle w:val="CRPDStateParty-bodyitalicsChar"/>
          <w:rFonts w:eastAsia="SimSun"/>
          <w:i w:val="0"/>
          <w:noProof w:val="0"/>
          <w:lang w:val="en-GB"/>
        </w:rPr>
        <w:t xml:space="preserve"> primary health </w:t>
      </w:r>
      <w:r w:rsidR="00CA1045" w:rsidRPr="00540365">
        <w:rPr>
          <w:rStyle w:val="CRPDStateParty-bodyitalicsChar"/>
          <w:rFonts w:eastAsia="SimSun"/>
          <w:i w:val="0"/>
          <w:noProof w:val="0"/>
          <w:lang w:val="en-GB"/>
        </w:rPr>
        <w:t>care professionals to improve early diagnosis and</w:t>
      </w:r>
      <w:r w:rsidR="008944C0" w:rsidRPr="00540365">
        <w:rPr>
          <w:rStyle w:val="CRPDStateParty-bodyitalicsChar"/>
          <w:rFonts w:eastAsia="SimSun"/>
          <w:i w:val="0"/>
          <w:noProof w:val="0"/>
          <w:lang w:val="en-GB"/>
        </w:rPr>
        <w:t xml:space="preserve"> provide</w:t>
      </w:r>
      <w:r w:rsidRPr="00540365">
        <w:rPr>
          <w:rStyle w:val="CRPDStateParty-bodyitalicsChar"/>
          <w:rFonts w:eastAsia="SimSun"/>
          <w:i w:val="0"/>
          <w:noProof w:val="0"/>
          <w:lang w:val="en-GB"/>
        </w:rPr>
        <w:t xml:space="preserve"> </w:t>
      </w:r>
      <w:r w:rsidR="00495B2F" w:rsidRPr="00540365">
        <w:rPr>
          <w:rStyle w:val="CRPDStateParty-bodyitalicsChar"/>
          <w:rFonts w:eastAsia="SimSun"/>
          <w:i w:val="0"/>
          <w:noProof w:val="0"/>
          <w:lang w:val="en-GB"/>
        </w:rPr>
        <w:t>easier access to secondary care</w:t>
      </w:r>
    </w:p>
    <w:p w:rsidR="00064B7F" w:rsidRPr="00540365" w:rsidRDefault="00495B2F" w:rsidP="00320CC4">
      <w:pPr>
        <w:pStyle w:val="CRPDStateParty-bullets"/>
        <w:widowControl w:val="0"/>
        <w:spacing w:line="240" w:lineRule="auto"/>
        <w:rPr>
          <w:rStyle w:val="CRPDStateParty-bodyitalicsChar"/>
          <w:rFonts w:eastAsia="SimSun"/>
          <w:i w:val="0"/>
          <w:noProof w:val="0"/>
          <w:lang w:val="en-GB"/>
        </w:rPr>
      </w:pPr>
      <w:r w:rsidRPr="00540365">
        <w:rPr>
          <w:rStyle w:val="CRPDStateParty-bodyitalicsChar"/>
          <w:rFonts w:eastAsia="SimSun"/>
          <w:i w:val="0"/>
          <w:noProof w:val="0"/>
          <w:lang w:val="en-GB"/>
        </w:rPr>
        <w:t xml:space="preserve">developed national guidance for dementia education providers to enable effective, person-centred education programmes for family and whānau supporters of people living with dementia. </w:t>
      </w:r>
    </w:p>
    <w:p w:rsidR="00064B7F" w:rsidRPr="00237D85" w:rsidRDefault="00064B7F" w:rsidP="00320CC4">
      <w:pPr>
        <w:pStyle w:val="CRPD-subsectionheading"/>
        <w:spacing w:line="240" w:lineRule="auto"/>
      </w:pPr>
      <w:r w:rsidRPr="00237D85">
        <w:rPr>
          <w:rStyle w:val="CRPDStateParty-bodyitalicsChar"/>
          <w:noProof w:val="0"/>
        </w:rPr>
        <w:t>The Healthy Ageing Strategy</w:t>
      </w:r>
      <w:r w:rsidRPr="00237D85">
        <w:rPr>
          <w:rStyle w:val="FootnoteReference"/>
        </w:rPr>
        <w:footnoteReference w:id="204"/>
      </w:r>
      <w:r w:rsidRPr="00237D85">
        <w:t xml:space="preserve"> </w:t>
      </w:r>
      <w:r w:rsidR="00CA1045">
        <w:t>includes actions</w:t>
      </w:r>
      <w:r w:rsidRPr="00237D85">
        <w:t xml:space="preserve"> to grow ‘age-friendly’ and ‘dementia-friendly’ communities and establish</w:t>
      </w:r>
      <w:r w:rsidR="00CA1045">
        <w:t>es</w:t>
      </w:r>
      <w:r w:rsidRPr="00237D85">
        <w:t xml:space="preserve"> an outcomes framework for measurement and monitoring. </w:t>
      </w:r>
    </w:p>
    <w:p w:rsidR="00064B7F" w:rsidRPr="00237D85" w:rsidRDefault="00064B7F" w:rsidP="00320CC4">
      <w:pPr>
        <w:pStyle w:val="CRPD-subsectionheading"/>
        <w:spacing w:line="240" w:lineRule="auto"/>
      </w:pPr>
      <w:r w:rsidRPr="00237D85">
        <w:t xml:space="preserve">In 2017, </w:t>
      </w:r>
      <w:r w:rsidR="002D21E1">
        <w:t>NZ</w:t>
      </w:r>
      <w:r w:rsidRPr="00237D85">
        <w:t xml:space="preserve"> adopted </w:t>
      </w:r>
      <w:r w:rsidR="002C46E3">
        <w:t xml:space="preserve">the World Health Organization’s </w:t>
      </w:r>
      <w:r w:rsidRPr="00237D85">
        <w:rPr>
          <w:rStyle w:val="CRPDStateParty-bodyitalicsChar"/>
          <w:noProof w:val="0"/>
        </w:rPr>
        <w:t>Global Plan of Action on the Public Health Response to Dementia 2017-2025</w:t>
      </w:r>
      <w:r w:rsidRPr="00237D85">
        <w:t>.</w:t>
      </w:r>
    </w:p>
    <w:p w:rsidR="006F7302" w:rsidRDefault="006F7302" w:rsidP="00320CC4">
      <w:pPr>
        <w:pStyle w:val="CRPD-Questionstyle"/>
        <w:widowControl w:val="0"/>
        <w:spacing w:line="240" w:lineRule="auto"/>
        <w:rPr>
          <w:lang w:val="en-NZ"/>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Habilitation and rehabilitation (art. 26)</w:t>
      </w:r>
    </w:p>
    <w:p w:rsidR="00064B7F" w:rsidRPr="00237D85" w:rsidRDefault="00064B7F" w:rsidP="00320CC4">
      <w:pPr>
        <w:pStyle w:val="CRPD-Questionstyle"/>
        <w:widowControl w:val="0"/>
        <w:spacing w:line="240" w:lineRule="auto"/>
        <w:rPr>
          <w:lang w:val="en-NZ"/>
        </w:rPr>
      </w:pPr>
      <w:r w:rsidRPr="00237D85">
        <w:rPr>
          <w:lang w:val="en-NZ"/>
        </w:rPr>
        <w:t>24.</w:t>
      </w:r>
      <w:r w:rsidRPr="00237D85">
        <w:rPr>
          <w:lang w:val="en-NZ"/>
        </w:rPr>
        <w:tab/>
      </w:r>
      <w:r w:rsidR="00AD0662">
        <w:rPr>
          <w:lang w:val="en-NZ"/>
        </w:rPr>
        <w:t>M</w:t>
      </w:r>
      <w:r w:rsidRPr="00237D85">
        <w:rPr>
          <w:lang w:val="en-NZ"/>
        </w:rPr>
        <w:t>easures taken to ensure that habilitation and rehabilitation services for persons with disabilities are based on the human rights model of disability, including by ensuring the services are:</w:t>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 xml:space="preserve">Designed and implemented to enable persons with disabilities to attain and maintain maximum independence, full physical, mental, social and vocational ability and full inclusion and participation in all aspects of life; </w:t>
      </w:r>
    </w:p>
    <w:p w:rsidR="004F0931" w:rsidRPr="004F0931" w:rsidRDefault="004F0931" w:rsidP="00320CC4">
      <w:pPr>
        <w:pStyle w:val="CRPD-subsectionheading"/>
        <w:spacing w:line="240" w:lineRule="auto"/>
        <w:rPr>
          <w:u w:val="single"/>
        </w:rPr>
      </w:pPr>
      <w:r w:rsidRPr="004F0931">
        <w:t>Wide ranges of rehabilitation services, including habilitation, are funded to assist disabled people to remain in, or return to, their home or community, live independently, and participate in education, the labour market and civic life</w:t>
      </w:r>
      <w:r w:rsidRPr="004F0931">
        <w:rPr>
          <w:vertAlign w:val="superscript"/>
        </w:rPr>
        <w:footnoteReference w:id="205"/>
      </w:r>
      <w:r w:rsidRPr="004F0931">
        <w:t>. The main rehabilitation funders are:</w:t>
      </w:r>
    </w:p>
    <w:p w:rsidR="004F0931" w:rsidRPr="004F0931" w:rsidRDefault="004F0931" w:rsidP="00320CC4">
      <w:pPr>
        <w:pStyle w:val="CRPDStateParty-bullets"/>
        <w:spacing w:line="240" w:lineRule="auto"/>
      </w:pPr>
      <w:r w:rsidRPr="004F0931">
        <w:t>District Health Boards fund health, mental health and age-related rehabilitation</w:t>
      </w:r>
    </w:p>
    <w:p w:rsidR="004F0931" w:rsidRPr="004F0931" w:rsidRDefault="004F0931" w:rsidP="00320CC4">
      <w:pPr>
        <w:pStyle w:val="CRPDStateParty-bullets"/>
        <w:spacing w:line="240" w:lineRule="auto"/>
      </w:pPr>
      <w:r w:rsidRPr="004F0931">
        <w:t>ACC is responsible for injury prevention, rehabilitation and support for injury-related needs</w:t>
      </w:r>
    </w:p>
    <w:p w:rsidR="004F0931" w:rsidRPr="004F0931" w:rsidRDefault="004F0931" w:rsidP="00320CC4">
      <w:pPr>
        <w:pStyle w:val="CRPDStateParty-bullets"/>
        <w:spacing w:line="240" w:lineRule="auto"/>
      </w:pPr>
      <w:r>
        <w:lastRenderedPageBreak/>
        <w:t>t</w:t>
      </w:r>
      <w:r w:rsidRPr="004F0931">
        <w:t xml:space="preserve">he Ministry of Health funds disability-specific rehabilitation, including </w:t>
      </w:r>
      <w:r>
        <w:t>a</w:t>
      </w:r>
      <w:r w:rsidRPr="004F0931">
        <w:t xml:space="preserve">ssistive </w:t>
      </w:r>
      <w:r>
        <w:t>t</w:t>
      </w:r>
      <w:r w:rsidRPr="004F0931">
        <w:t>echnology for people with long-term physical, intellectual and sensory disabilities</w:t>
      </w:r>
    </w:p>
    <w:p w:rsidR="004F0931" w:rsidRPr="004F0931" w:rsidRDefault="004F0931" w:rsidP="00320CC4">
      <w:pPr>
        <w:pStyle w:val="CRPDStateParty-bullets"/>
        <w:spacing w:line="240" w:lineRule="auto"/>
      </w:pPr>
      <w:r>
        <w:t>t</w:t>
      </w:r>
      <w:r w:rsidRPr="004F0931">
        <w:t>he Ministry of Social Development funds income, vocational and community participation assistance and supports</w:t>
      </w:r>
    </w:p>
    <w:p w:rsidR="004F0931" w:rsidRPr="004F0931" w:rsidRDefault="004F0931" w:rsidP="00320CC4">
      <w:pPr>
        <w:pStyle w:val="CRPDStateParty-bullets"/>
        <w:spacing w:line="240" w:lineRule="auto"/>
      </w:pPr>
      <w:r>
        <w:t>t</w:t>
      </w:r>
      <w:r w:rsidRPr="004F0931">
        <w:t>he Ministry of Education funds rehabilitation for learnin</w:t>
      </w:r>
      <w:r>
        <w:t>g support (previously known as ‘</w:t>
      </w:r>
      <w:r w:rsidRPr="004F0931">
        <w:t xml:space="preserve">special education’). </w:t>
      </w:r>
    </w:p>
    <w:p w:rsidR="004F0931" w:rsidRPr="004F0931" w:rsidRDefault="004F0931" w:rsidP="00320CC4">
      <w:pPr>
        <w:pStyle w:val="CRPD-subsectionheading"/>
        <w:spacing w:line="240" w:lineRule="auto"/>
      </w:pPr>
      <w:r w:rsidRPr="004F0931">
        <w:t xml:space="preserve">The Government recognises obligations for Māori rehabilitation through </w:t>
      </w:r>
      <w:r w:rsidRPr="004F0931">
        <w:rPr>
          <w:i/>
        </w:rPr>
        <w:t>Te Tiriti o Waitangi</w:t>
      </w:r>
      <w:r w:rsidR="008E038E">
        <w:rPr>
          <w:rStyle w:val="FootnoteReference"/>
          <w:i/>
        </w:rPr>
        <w:footnoteReference w:id="206"/>
      </w:r>
      <w:r w:rsidRPr="004F0931">
        <w:t xml:space="preserve">. Services for Māori should be based on Māori thinking and behaviour and Māori ways of healing, care, and rehabilitation. </w:t>
      </w:r>
    </w:p>
    <w:p w:rsidR="00AD0662" w:rsidRPr="00AD0662" w:rsidRDefault="004F0931" w:rsidP="00320CC4">
      <w:pPr>
        <w:pStyle w:val="CRPD-subsectionheading"/>
        <w:spacing w:line="240" w:lineRule="auto"/>
      </w:pPr>
      <w:r w:rsidRPr="004F0931">
        <w:t xml:space="preserve">NZ endorsed the draft </w:t>
      </w:r>
      <w:r w:rsidRPr="004F0931">
        <w:rPr>
          <w:i/>
        </w:rPr>
        <w:t>Western Pacific Regional Framework on Rehabilitation</w:t>
      </w:r>
      <w:r w:rsidRPr="004F0931">
        <w:t xml:space="preserve"> in 2018</w:t>
      </w:r>
      <w:r>
        <w:t xml:space="preserve">. </w:t>
      </w:r>
      <w:r w:rsidRPr="004F0931">
        <w:t xml:space="preserve">A baseline country rehabilitation survey is expected in </w:t>
      </w:r>
      <w:r>
        <w:t xml:space="preserve">2019. </w:t>
      </w:r>
      <w:r w:rsidRPr="004F0931">
        <w:t xml:space="preserve">This will help strengthen our national rehabilitation services in line with </w:t>
      </w:r>
      <w:r w:rsidRPr="004F0931">
        <w:rPr>
          <w:i/>
        </w:rPr>
        <w:t xml:space="preserve">UN Standard Rule 3: Rehabilitation, </w:t>
      </w:r>
      <w:r w:rsidRPr="004F0931">
        <w:t>the CRPD</w:t>
      </w:r>
      <w:r w:rsidRPr="004F0931">
        <w:rPr>
          <w:i/>
        </w:rPr>
        <w:t>,</w:t>
      </w:r>
      <w:r w:rsidRPr="004F0931">
        <w:t xml:space="preserve"> and the </w:t>
      </w:r>
      <w:r>
        <w:t>NZ</w:t>
      </w:r>
      <w:r w:rsidRPr="004F0931">
        <w:t xml:space="preserve"> Disability Strategy</w:t>
      </w:r>
      <w:r w:rsidR="00AD0662" w:rsidRPr="00AD0662">
        <w:rPr>
          <w:rStyle w:val="CRPDStateParty-bodyitalicsChar"/>
          <w:i w:val="0"/>
          <w:noProof w:val="0"/>
        </w:rPr>
        <w:t>.</w:t>
      </w:r>
    </w:p>
    <w:p w:rsidR="00064B7F" w:rsidRPr="00237D85" w:rsidRDefault="00AD0662" w:rsidP="00320CC4">
      <w:pPr>
        <w:pStyle w:val="CRPD-Questionstyle"/>
        <w:widowControl w:val="0"/>
        <w:spacing w:line="240" w:lineRule="auto"/>
        <w:rPr>
          <w:b w:val="0"/>
          <w:lang w:val="en-NZ"/>
        </w:rPr>
      </w:pPr>
      <w:r w:rsidRPr="00237D85">
        <w:rPr>
          <w:lang w:val="en-NZ"/>
        </w:rPr>
        <w:t xml:space="preserve"> </w:t>
      </w:r>
      <w:r w:rsidR="00064B7F" w:rsidRPr="00237D85">
        <w:rPr>
          <w:lang w:val="en-NZ"/>
        </w:rPr>
        <w:t>(b)</w:t>
      </w:r>
      <w:r w:rsidR="00064B7F" w:rsidRPr="00237D85">
        <w:rPr>
          <w:lang w:val="en-NZ"/>
        </w:rPr>
        <w:tab/>
        <w:t>Provided to persons with disabilities on the basis of their free, prior and informed consent.</w:t>
      </w:r>
    </w:p>
    <w:p w:rsidR="007B01AF" w:rsidRDefault="007B01AF" w:rsidP="00320CC4">
      <w:pPr>
        <w:pStyle w:val="CRPD-subsectionheading"/>
        <w:spacing w:line="240" w:lineRule="auto"/>
      </w:pPr>
      <w:r w:rsidRPr="009D6732">
        <w:t xml:space="preserve">All health and disability services are guided by the </w:t>
      </w:r>
      <w:r w:rsidRPr="009D6732">
        <w:rPr>
          <w:rStyle w:val="CRPDStateParty-bodyitalicsChar"/>
          <w:noProof w:val="0"/>
        </w:rPr>
        <w:t>Code of Health and Disability Services Consumers’ Rights</w:t>
      </w:r>
      <w:r w:rsidR="00DE3CF6" w:rsidRPr="00DB21B5">
        <w:rPr>
          <w:rStyle w:val="FootnoteReference"/>
          <w:rFonts w:cs="Times New Roman"/>
        </w:rPr>
        <w:footnoteReference w:id="207"/>
      </w:r>
      <w:r w:rsidRPr="009D6732">
        <w:t xml:space="preserve"> </w:t>
      </w:r>
      <w:r w:rsidR="00DE3CF6" w:rsidRPr="009D6732">
        <w:t>(see question</w:t>
      </w:r>
      <w:r w:rsidR="00DE3CF6">
        <w:t xml:space="preserve"> 11(b)) </w:t>
      </w:r>
      <w:r w:rsidRPr="00237D85">
        <w:t>which provides for consumer rights</w:t>
      </w:r>
      <w:r>
        <w:t>:</w:t>
      </w:r>
    </w:p>
    <w:p w:rsidR="007B01AF" w:rsidRDefault="007B01AF" w:rsidP="00320CC4">
      <w:pPr>
        <w:pStyle w:val="CRPDStateParty-bullets"/>
        <w:widowControl w:val="0"/>
        <w:spacing w:line="240" w:lineRule="auto"/>
      </w:pPr>
      <w:r>
        <w:t xml:space="preserve">to </w:t>
      </w:r>
      <w:r w:rsidRPr="00237D85">
        <w:t>ef</w:t>
      </w:r>
      <w:r>
        <w:t>fective communication (Right 5)</w:t>
      </w:r>
      <w:r w:rsidRPr="00237D85">
        <w:t xml:space="preserve"> </w:t>
      </w:r>
    </w:p>
    <w:p w:rsidR="007B01AF" w:rsidRDefault="007B01AF" w:rsidP="00320CC4">
      <w:pPr>
        <w:pStyle w:val="CRPDStateParty-bullets"/>
        <w:widowControl w:val="0"/>
        <w:spacing w:line="240" w:lineRule="auto"/>
      </w:pPr>
      <w:r>
        <w:t>to be fully informed (Right 6)</w:t>
      </w:r>
    </w:p>
    <w:p w:rsidR="007B01AF" w:rsidRPr="00237D85" w:rsidRDefault="007B01AF" w:rsidP="00320CC4">
      <w:pPr>
        <w:pStyle w:val="CRPDStateParty-bullets"/>
        <w:widowControl w:val="0"/>
        <w:spacing w:line="240" w:lineRule="auto"/>
      </w:pPr>
      <w:r>
        <w:t xml:space="preserve">to </w:t>
      </w:r>
      <w:r w:rsidRPr="00237D85">
        <w:t xml:space="preserve">make an informed choice and give informed consent (Right 7). </w:t>
      </w:r>
    </w:p>
    <w:p w:rsidR="00064B7F" w:rsidRPr="00DE3CF6" w:rsidRDefault="00C21D40" w:rsidP="00320CC4">
      <w:pPr>
        <w:pStyle w:val="CRPD-subsectionheading"/>
        <w:spacing w:line="240" w:lineRule="auto"/>
      </w:pPr>
      <w:r w:rsidRPr="00DE3CF6">
        <w:t xml:space="preserve">See </w:t>
      </w:r>
      <w:r w:rsidR="00DE3CF6">
        <w:t>i</w:t>
      </w:r>
      <w:r w:rsidRPr="00DE3CF6">
        <w:t>ntroduct</w:t>
      </w:r>
      <w:r w:rsidR="004A7984" w:rsidRPr="00DE3CF6">
        <w:t xml:space="preserve">ion </w:t>
      </w:r>
      <w:r w:rsidR="00064B7F" w:rsidRPr="00DE3CF6">
        <w:t xml:space="preserve">for </w:t>
      </w:r>
      <w:r w:rsidRPr="00DE3CF6">
        <w:t>the disability support system tra</w:t>
      </w:r>
      <w:r w:rsidR="00064B7F" w:rsidRPr="00DE3CF6">
        <w:t>nsform</w:t>
      </w:r>
      <w:r w:rsidRPr="00DE3CF6">
        <w:t>ation</w:t>
      </w:r>
      <w:r w:rsidR="00DE3CF6">
        <w:t xml:space="preserve"> prototype.</w:t>
      </w:r>
    </w:p>
    <w:p w:rsidR="00064B7F" w:rsidRPr="00237D85" w:rsidRDefault="00064B7F" w:rsidP="00320CC4">
      <w:pPr>
        <w:pStyle w:val="SingleTxtG"/>
        <w:widowControl w:val="0"/>
        <w:spacing w:line="240" w:lineRule="auto"/>
        <w:rPr>
          <w:lang w:val="en-NZ"/>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Work and employment (art. 27)</w:t>
      </w:r>
      <w:r w:rsidRPr="00EE3301">
        <w:rPr>
          <w:sz w:val="28"/>
          <w:lang w:val="en-NZ"/>
        </w:rPr>
        <w:t xml:space="preserve"> </w:t>
      </w:r>
    </w:p>
    <w:p w:rsidR="002625D2" w:rsidRDefault="00064B7F" w:rsidP="00320CC4">
      <w:pPr>
        <w:pStyle w:val="CRPD-Questionstyle"/>
        <w:widowControl w:val="0"/>
        <w:spacing w:line="240" w:lineRule="auto"/>
        <w:rPr>
          <w:lang w:val="en-NZ"/>
        </w:rPr>
      </w:pPr>
      <w:r w:rsidRPr="00237D85">
        <w:rPr>
          <w:lang w:val="en-NZ"/>
        </w:rPr>
        <w:t>25.</w:t>
      </w:r>
      <w:r w:rsidRPr="00237D85">
        <w:rPr>
          <w:lang w:val="en-NZ"/>
        </w:rPr>
        <w:tab/>
      </w:r>
      <w:bookmarkStart w:id="13" w:name="_Hlk512423124"/>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 xml:space="preserve">Measures taken to increase the employment levels of persons with disabilities and reduce employment discrimination against them, especially </w:t>
      </w:r>
      <w:r w:rsidRPr="00237D85">
        <w:rPr>
          <w:lang w:val="en-NZ"/>
        </w:rPr>
        <w:lastRenderedPageBreak/>
        <w:t>for women with disabilities, Māori and Pacific persons with disabilities, including data disaggregated by age, sex and ethnicity;</w:t>
      </w:r>
    </w:p>
    <w:bookmarkEnd w:id="13"/>
    <w:p w:rsidR="008F4E40" w:rsidRPr="00E73ED2" w:rsidRDefault="008F4E40" w:rsidP="00320CC4">
      <w:pPr>
        <w:pStyle w:val="CRPD-subsectionheading"/>
        <w:spacing w:line="240" w:lineRule="auto"/>
      </w:pPr>
      <w:r w:rsidRPr="00E73ED2">
        <w:t xml:space="preserve">The Government provides a range of services and supports to help more disabled people find and stay in employment. This includes </w:t>
      </w:r>
      <w:r w:rsidR="008E038E">
        <w:t>universal supports (</w:t>
      </w:r>
      <w:r w:rsidR="00B70EBF">
        <w:t>including</w:t>
      </w:r>
      <w:r w:rsidRPr="00E73ED2">
        <w:t xml:space="preserve"> wage subsidies and industry-related training</w:t>
      </w:r>
      <w:r w:rsidR="008E038E">
        <w:t>)</w:t>
      </w:r>
      <w:r w:rsidRPr="00E73ED2">
        <w:t xml:space="preserve"> </w:t>
      </w:r>
      <w:r>
        <w:t>and</w:t>
      </w:r>
      <w:r w:rsidRPr="00E73ED2">
        <w:t xml:space="preserve"> specialised support</w:t>
      </w:r>
      <w:r w:rsidR="008E038E">
        <w:t xml:space="preserve"> (including</w:t>
      </w:r>
      <w:r w:rsidRPr="00E73ED2">
        <w:t xml:space="preserve"> supported employment providers</w:t>
      </w:r>
      <w:r w:rsidR="008E038E">
        <w:t>)</w:t>
      </w:r>
      <w:r w:rsidRPr="00E73ED2">
        <w:t xml:space="preserve">. </w:t>
      </w:r>
    </w:p>
    <w:p w:rsidR="008F4E40" w:rsidRPr="00E73ED2" w:rsidRDefault="004F4C51" w:rsidP="00320CC4">
      <w:pPr>
        <w:pStyle w:val="CRPD-subsectionheading"/>
        <w:spacing w:line="240" w:lineRule="auto"/>
      </w:pPr>
      <w:r>
        <w:t>A</w:t>
      </w:r>
      <w:r w:rsidR="008F4E40" w:rsidRPr="00E73ED2">
        <w:t>ctions to improve outcomes,</w:t>
      </w:r>
      <w:r>
        <w:t xml:space="preserve"> include</w:t>
      </w:r>
      <w:r w:rsidR="008F4E40" w:rsidRPr="00E73ED2">
        <w:t>:</w:t>
      </w:r>
    </w:p>
    <w:p w:rsidR="0013786C" w:rsidRPr="00237D85" w:rsidRDefault="0013786C" w:rsidP="00320CC4">
      <w:pPr>
        <w:pStyle w:val="CRPDStateParty-bullets"/>
        <w:widowControl w:val="0"/>
        <w:spacing w:line="240" w:lineRule="auto"/>
      </w:pPr>
      <w:r>
        <w:t xml:space="preserve">working with </w:t>
      </w:r>
      <w:r w:rsidRPr="009D6732">
        <w:t>the NZ Disability Support Network</w:t>
      </w:r>
      <w:r w:rsidRPr="009D6732">
        <w:rPr>
          <w:rStyle w:val="FootnoteReference"/>
        </w:rPr>
        <w:footnoteReference w:id="208"/>
      </w:r>
      <w:r w:rsidRPr="009D6732">
        <w:t xml:space="preserve"> on</w:t>
      </w:r>
      <w:r>
        <w:t xml:space="preserve"> </w:t>
      </w:r>
      <w:r w:rsidRPr="009D6732">
        <w:t xml:space="preserve">the </w:t>
      </w:r>
      <w:r w:rsidRPr="009D6732">
        <w:rPr>
          <w:i/>
        </w:rPr>
        <w:t>Employment Support Practice Guidelines</w:t>
      </w:r>
      <w:r w:rsidRPr="009D6732">
        <w:rPr>
          <w:rStyle w:val="FootnoteReference"/>
          <w:i/>
        </w:rPr>
        <w:footnoteReference w:id="209"/>
      </w:r>
      <w:r w:rsidRPr="009D6732">
        <w:rPr>
          <w:i/>
        </w:rPr>
        <w:t xml:space="preserve"> </w:t>
      </w:r>
      <w:r w:rsidRPr="004F4C51">
        <w:t>(launched</w:t>
      </w:r>
      <w:r>
        <w:t xml:space="preserve"> in March 2018), which provide</w:t>
      </w:r>
      <w:r w:rsidRPr="00237D85">
        <w:t xml:space="preserve"> a “how to” guide for</w:t>
      </w:r>
      <w:r>
        <w:t xml:space="preserve"> organisations working to get disabled people into employment</w:t>
      </w:r>
      <w:r w:rsidRPr="00237D85">
        <w:t xml:space="preserve"> </w:t>
      </w:r>
    </w:p>
    <w:p w:rsidR="008F4E40" w:rsidRDefault="008F4E40" w:rsidP="00320CC4">
      <w:pPr>
        <w:pStyle w:val="CRPDStateParty-bullets"/>
        <w:widowControl w:val="0"/>
        <w:spacing w:line="240" w:lineRule="auto"/>
      </w:pPr>
      <w:r w:rsidRPr="00E73ED2">
        <w:t xml:space="preserve">launching </w:t>
      </w:r>
      <w:r>
        <w:t>a ‘</w:t>
      </w:r>
      <w:r w:rsidRPr="00E73ED2">
        <w:t>Disability Confident’</w:t>
      </w:r>
      <w:r>
        <w:t xml:space="preserve"> campaign</w:t>
      </w:r>
      <w:r w:rsidRPr="00237D85">
        <w:t xml:space="preserve"> </w:t>
      </w:r>
      <w:r w:rsidR="008E038E">
        <w:t>(see question 8(a))</w:t>
      </w:r>
    </w:p>
    <w:p w:rsidR="008F4E40" w:rsidRDefault="008F4E40" w:rsidP="00320CC4">
      <w:pPr>
        <w:pStyle w:val="CRPDStateParty-bullets"/>
        <w:widowControl w:val="0"/>
        <w:spacing w:line="240" w:lineRule="auto"/>
      </w:pPr>
      <w:r>
        <w:t>expanding eligibility for intensive work-focused case management to clients on the Supported Living Payment (who generally can only work for less than 15 hours a week)</w:t>
      </w:r>
    </w:p>
    <w:p w:rsidR="008F4E40" w:rsidRDefault="008F4E40" w:rsidP="00320CC4">
      <w:pPr>
        <w:pStyle w:val="CRPDStateParty-bullets"/>
        <w:widowControl w:val="0"/>
        <w:spacing w:line="240" w:lineRule="auto"/>
      </w:pPr>
      <w:r>
        <w:t>developing the Lead Toolkit</w:t>
      </w:r>
      <w:r w:rsidR="00DB21B5">
        <w:rPr>
          <w:rStyle w:val="FootnoteReference"/>
        </w:rPr>
        <w:footnoteReference w:id="210"/>
      </w:r>
      <w:r>
        <w:t>, which provides in-depth guidance to employers on employing disabled people (with a particular focus on the public sector)</w:t>
      </w:r>
    </w:p>
    <w:p w:rsidR="00E92965" w:rsidRDefault="00E92965" w:rsidP="00320CC4">
      <w:pPr>
        <w:pStyle w:val="CRPDStateParty-bullets"/>
        <w:spacing w:line="240" w:lineRule="auto"/>
      </w:pPr>
      <w:r>
        <w:t>launching the Oranga Mahi</w:t>
      </w:r>
      <w:r w:rsidR="005F35B8">
        <w:rPr>
          <w:rStyle w:val="FootnoteReference"/>
        </w:rPr>
        <w:footnoteReference w:id="211"/>
      </w:r>
      <w:r>
        <w:t xml:space="preserve"> programme (in 2016/17) to trial and evaluate new ways of delivering integrated health, social and employment support for clients with a health condition or disability</w:t>
      </w:r>
      <w:r>
        <w:rPr>
          <w:rStyle w:val="FootnoteReference"/>
        </w:rPr>
        <w:footnoteReference w:id="212"/>
      </w:r>
      <w:r>
        <w:t xml:space="preserve">. </w:t>
      </w:r>
      <w:r w:rsidR="00523935" w:rsidRPr="00006694">
        <w:t>For example, a prototype of the Individual Placement a</w:t>
      </w:r>
      <w:r w:rsidR="00523935">
        <w:t>nd Support approach in Waitemata</w:t>
      </w:r>
      <w:r w:rsidR="004F4C51">
        <w:rPr>
          <w:rStyle w:val="FootnoteReference"/>
        </w:rPr>
        <w:footnoteReference w:id="213"/>
      </w:r>
      <w:r w:rsidR="00523935" w:rsidRPr="00006694">
        <w:t xml:space="preserve"> is integrating employment and mental health services to help people with severe mental health conditions to find and stay in work.</w:t>
      </w:r>
    </w:p>
    <w:p w:rsidR="008F4E40" w:rsidRPr="00237D85" w:rsidRDefault="008F4E40" w:rsidP="00320CC4">
      <w:pPr>
        <w:pStyle w:val="CRPD-subsectionheading"/>
        <w:spacing w:line="240" w:lineRule="auto"/>
      </w:pPr>
      <w:r w:rsidRPr="00237D85">
        <w:t>We do not have specific policies for increasing the employment rates of disabled women, Māori or Pacific people.</w:t>
      </w:r>
    </w:p>
    <w:p w:rsidR="00064B7F" w:rsidRPr="00237D85" w:rsidRDefault="00064B7F" w:rsidP="00320CC4">
      <w:pPr>
        <w:pStyle w:val="CRPD-Questionstyle"/>
        <w:widowControl w:val="0"/>
        <w:spacing w:line="240" w:lineRule="auto"/>
        <w:rPr>
          <w:lang w:val="en-NZ"/>
        </w:rPr>
      </w:pPr>
      <w:r w:rsidRPr="00237D85">
        <w:rPr>
          <w:lang w:val="en-NZ"/>
        </w:rPr>
        <w:lastRenderedPageBreak/>
        <w:tab/>
        <w:t>(b)</w:t>
      </w:r>
      <w:r w:rsidRPr="00237D85">
        <w:rPr>
          <w:lang w:val="en-NZ"/>
        </w:rPr>
        <w:tab/>
        <w:t xml:space="preserve">Efforts to remove sheltered workshops and the minimum wage exemption permits for the employment of persons with disabilities; </w:t>
      </w:r>
    </w:p>
    <w:p w:rsidR="00101889" w:rsidRDefault="00101889" w:rsidP="00320CC4">
      <w:pPr>
        <w:pStyle w:val="CRPD-subsectionheading"/>
        <w:spacing w:line="240" w:lineRule="auto"/>
      </w:pPr>
      <w:bookmarkStart w:id="14" w:name="_Hlk512422845"/>
      <w:r w:rsidRPr="006A1FF5">
        <w:t xml:space="preserve">Traditional sheltered workshops in </w:t>
      </w:r>
      <w:r w:rsidR="002D21E1">
        <w:t>NZ</w:t>
      </w:r>
      <w:r w:rsidRPr="006A1FF5">
        <w:t xml:space="preserve"> ended with the repeal of the </w:t>
      </w:r>
      <w:r w:rsidRPr="00101889">
        <w:rPr>
          <w:i/>
        </w:rPr>
        <w:t>Disabled Persons Employment Promotion Act 1960</w:t>
      </w:r>
      <w:r>
        <w:rPr>
          <w:rStyle w:val="FootnoteReference"/>
          <w:i/>
        </w:rPr>
        <w:footnoteReference w:id="214"/>
      </w:r>
      <w:r w:rsidRPr="006A1FF5">
        <w:t xml:space="preserve"> in 2007.</w:t>
      </w:r>
      <w:r>
        <w:t xml:space="preserve"> Many providers chose to close the sheltered workshops and instead focus on providing other activities for disabled people.</w:t>
      </w:r>
    </w:p>
    <w:p w:rsidR="00101889" w:rsidRDefault="00101889" w:rsidP="00320CC4">
      <w:pPr>
        <w:pStyle w:val="CRPD-subsectionheading"/>
        <w:spacing w:line="240" w:lineRule="auto"/>
      </w:pPr>
      <w:r w:rsidRPr="006A1FF5">
        <w:t xml:space="preserve">The providers who continue to offer sheltered employment opportunities are known as Business Enterprises. </w:t>
      </w:r>
      <w:r>
        <w:t xml:space="preserve">The government funds </w:t>
      </w:r>
      <w:r w:rsidRPr="006A1FF5">
        <w:t>Business Enterprise</w:t>
      </w:r>
      <w:r w:rsidR="00DB21B5">
        <w:t>s</w:t>
      </w:r>
      <w:r w:rsidRPr="006A1FF5">
        <w:t xml:space="preserve"> to provide vocational and employment support for disabled people. </w:t>
      </w:r>
    </w:p>
    <w:p w:rsidR="00064B7F" w:rsidRPr="00237D85" w:rsidRDefault="00064B7F" w:rsidP="00320CC4">
      <w:pPr>
        <w:pStyle w:val="CRPD-subsectionheading"/>
        <w:spacing w:line="240" w:lineRule="auto"/>
      </w:pPr>
      <w:r w:rsidRPr="00237D85">
        <w:t>The</w:t>
      </w:r>
      <w:r w:rsidR="00101889">
        <w:t xml:space="preserve"> Government is working on</w:t>
      </w:r>
      <w:r w:rsidRPr="00237D85">
        <w:t xml:space="preserve"> identify</w:t>
      </w:r>
      <w:r w:rsidR="00101889">
        <w:t>ing</w:t>
      </w:r>
      <w:r w:rsidRPr="00237D85">
        <w:t xml:space="preserve"> better alternatives so that the Minimum Wage Exemption</w:t>
      </w:r>
      <w:r w:rsidRPr="00237D85">
        <w:rPr>
          <w:rStyle w:val="FootnoteReference"/>
        </w:rPr>
        <w:footnoteReference w:id="215"/>
      </w:r>
      <w:r w:rsidRPr="00237D85">
        <w:t xml:space="preserve"> can be </w:t>
      </w:r>
      <w:r w:rsidRPr="0098402F">
        <w:t>removed</w:t>
      </w:r>
      <w:r w:rsidR="0098402F" w:rsidRPr="0098402F">
        <w:rPr>
          <w:rStyle w:val="FootnoteReference"/>
          <w:rFonts w:cs="Times New Roman"/>
        </w:rPr>
        <w:footnoteReference w:id="216"/>
      </w:r>
      <w:r w:rsidRPr="0098402F">
        <w:rPr>
          <w:i/>
        </w:rPr>
        <w:t>.</w:t>
      </w:r>
      <w:r w:rsidRPr="00237D85">
        <w:t xml:space="preserve"> </w:t>
      </w:r>
    </w:p>
    <w:p w:rsidR="00064B7F" w:rsidRPr="00237D85" w:rsidRDefault="00101889" w:rsidP="00320CC4">
      <w:pPr>
        <w:pStyle w:val="CRPD-subsectionheading"/>
        <w:spacing w:line="240" w:lineRule="auto"/>
      </w:pPr>
      <w:r>
        <w:t>In 2016, t</w:t>
      </w:r>
      <w:r w:rsidR="00064B7F" w:rsidRPr="00237D85">
        <w:t xml:space="preserve">he Government worked with disability sector representatives to understand how to go about repealing the exemption. This work highlighted the importance of protecting existing job opportunities for disabled people. </w:t>
      </w:r>
    </w:p>
    <w:p w:rsidR="00DD3EE4" w:rsidRDefault="00DD3EE4" w:rsidP="00320CC4">
      <w:pPr>
        <w:pStyle w:val="CRPD-subsectionheading"/>
        <w:spacing w:line="240" w:lineRule="auto"/>
      </w:pPr>
      <w:r w:rsidRPr="00DD3EE4">
        <w:t>Consultation will begin in early 2019 on the design of an approach to ensure disabled people currently under the exemption receive the minimum wage.</w:t>
      </w:r>
    </w:p>
    <w:p w:rsidR="00064B7F" w:rsidRPr="00237D85" w:rsidRDefault="00064B7F" w:rsidP="00320CC4">
      <w:pPr>
        <w:pStyle w:val="CRPD-Questionstyle"/>
        <w:widowControl w:val="0"/>
        <w:spacing w:line="240" w:lineRule="auto"/>
        <w:rPr>
          <w:lang w:val="en-NZ"/>
        </w:rPr>
      </w:pPr>
      <w:r w:rsidRPr="00237D85">
        <w:rPr>
          <w:lang w:val="en-NZ"/>
        </w:rPr>
        <w:tab/>
        <w:t>(c)</w:t>
      </w:r>
      <w:r w:rsidRPr="00237D85">
        <w:rPr>
          <w:lang w:val="en-NZ"/>
        </w:rPr>
        <w:tab/>
        <w:t>Statistical data with comparability on an annual basis and on the status of the persons, with or without disabilities, on unemployment, underemployment and multiple employment, as well as the people not currently involved in any form of education, employment or training, disaggregated by sex, age and ethnicity, urban or rural area, and family status, over the previous reporting period.</w:t>
      </w:r>
    </w:p>
    <w:bookmarkEnd w:id="14"/>
    <w:p w:rsidR="001A34FA" w:rsidRDefault="001A34FA" w:rsidP="00320CC4">
      <w:pPr>
        <w:pStyle w:val="CRPD-subsectionheading"/>
        <w:spacing w:line="240" w:lineRule="auto"/>
      </w:pPr>
      <w:r>
        <w:t>Breakdowns of disability findings by ethnic group, family status, and rural/urban status are not avail</w:t>
      </w:r>
      <w:r w:rsidRPr="0098402F">
        <w:t xml:space="preserve">able from the </w:t>
      </w:r>
      <w:r w:rsidRPr="0098402F">
        <w:rPr>
          <w:i/>
        </w:rPr>
        <w:t>H</w:t>
      </w:r>
      <w:r w:rsidR="0050110F" w:rsidRPr="0098402F">
        <w:rPr>
          <w:i/>
        </w:rPr>
        <w:t xml:space="preserve">ousehold Labour Force </w:t>
      </w:r>
      <w:r w:rsidRPr="0098402F">
        <w:rPr>
          <w:i/>
        </w:rPr>
        <w:t>S</w:t>
      </w:r>
      <w:r w:rsidR="0050110F" w:rsidRPr="0098402F">
        <w:rPr>
          <w:i/>
        </w:rPr>
        <w:t>urvey</w:t>
      </w:r>
      <w:r w:rsidR="00DE3CF6" w:rsidRPr="0098402F">
        <w:rPr>
          <w:rStyle w:val="FootnoteReference"/>
        </w:rPr>
        <w:footnoteReference w:id="217"/>
      </w:r>
      <w:r w:rsidRPr="0098402F">
        <w:rPr>
          <w:i/>
        </w:rPr>
        <w:t xml:space="preserve"> </w:t>
      </w:r>
      <w:r w:rsidRPr="0098402F">
        <w:t>due to high sampling</w:t>
      </w:r>
      <w:r>
        <w:t xml:space="preserve"> errors on these estimates.</w:t>
      </w:r>
    </w:p>
    <w:p w:rsidR="008F0DC1" w:rsidRDefault="008F0DC1" w:rsidP="00320CC4">
      <w:pPr>
        <w:pStyle w:val="CRPD-subsectionheading"/>
        <w:spacing w:line="240" w:lineRule="auto"/>
      </w:pPr>
      <w:r>
        <w:lastRenderedPageBreak/>
        <w:t>Employment data shows that:</w:t>
      </w:r>
    </w:p>
    <w:p w:rsidR="0029236A" w:rsidRDefault="0029236A" w:rsidP="00320CC4">
      <w:pPr>
        <w:pStyle w:val="CRPDStateParty-bullets"/>
        <w:widowControl w:val="0"/>
        <w:spacing w:line="240" w:lineRule="auto"/>
      </w:pPr>
      <w:r>
        <w:t xml:space="preserve">disabled adults have lower rates of labour force participation and employment compared with non-disabled adults </w:t>
      </w:r>
    </w:p>
    <w:p w:rsidR="008F0DC1" w:rsidRPr="001A34FA" w:rsidRDefault="0029236A" w:rsidP="00320CC4">
      <w:pPr>
        <w:pStyle w:val="CRPDStateParty-bullets"/>
        <w:widowControl w:val="0"/>
        <w:spacing w:line="240" w:lineRule="auto"/>
      </w:pPr>
      <w:r>
        <w:t>d</w:t>
      </w:r>
      <w:r w:rsidR="008F0DC1" w:rsidRPr="001A34FA">
        <w:t xml:space="preserve">isabled </w:t>
      </w:r>
      <w:r w:rsidR="008F0DC1">
        <w:t>adults</w:t>
      </w:r>
      <w:r w:rsidR="008F0DC1" w:rsidRPr="001A34FA">
        <w:t xml:space="preserve"> have a higher rate of unemployment </w:t>
      </w:r>
      <w:r w:rsidR="00DE3CF6">
        <w:t>compared with</w:t>
      </w:r>
      <w:r w:rsidR="008F0DC1" w:rsidRPr="001A34FA">
        <w:t xml:space="preserve"> non-disabled </w:t>
      </w:r>
      <w:r w:rsidR="008F0DC1">
        <w:t>adults</w:t>
      </w:r>
      <w:r>
        <w:t>.</w:t>
      </w:r>
    </w:p>
    <w:p w:rsidR="001A34FA" w:rsidRPr="00DE3CF6" w:rsidRDefault="001A34FA" w:rsidP="00320CC4">
      <w:pPr>
        <w:pStyle w:val="CRPD-Questionstyle"/>
        <w:spacing w:line="240" w:lineRule="auto"/>
      </w:pPr>
      <w:r w:rsidRPr="00DE3CF6">
        <w:t xml:space="preserve">Table: Labour Market </w:t>
      </w:r>
      <w:r w:rsidR="008F0DC1" w:rsidRPr="00DE3CF6">
        <w:t>Statistics (Disability): June quarter</w:t>
      </w:r>
      <w:r w:rsidR="00D4228A" w:rsidRPr="00DE3CF6">
        <w:t>s</w:t>
      </w:r>
      <w:r w:rsidR="008A0130" w:rsidRPr="00DE3CF6">
        <w:rPr>
          <w:rStyle w:val="FootnoteReference"/>
        </w:rPr>
        <w:footnoteReference w:id="218"/>
      </w:r>
      <w:r w:rsidRPr="00DE3CF6">
        <w:t xml:space="preserve"> </w:t>
      </w:r>
    </w:p>
    <w:tbl>
      <w:tblPr>
        <w:tblStyle w:val="TableGridLight1"/>
        <w:tblW w:w="4370" w:type="pct"/>
        <w:tblInd w:w="1242" w:type="dxa"/>
        <w:tblLook w:val="04A0" w:firstRow="1" w:lastRow="0" w:firstColumn="1" w:lastColumn="0" w:noHBand="0" w:noVBand="1"/>
      </w:tblPr>
      <w:tblGrid>
        <w:gridCol w:w="3261"/>
        <w:gridCol w:w="2835"/>
        <w:gridCol w:w="1275"/>
        <w:gridCol w:w="1242"/>
      </w:tblGrid>
      <w:tr w:rsidR="00AD34C3" w:rsidRPr="00DF1D96" w:rsidTr="0042777A">
        <w:tc>
          <w:tcPr>
            <w:tcW w:w="1893" w:type="pct"/>
            <w:hideMark/>
          </w:tcPr>
          <w:p w:rsidR="00AD34C3" w:rsidRPr="00DF1D96" w:rsidRDefault="00497C9C" w:rsidP="00320CC4">
            <w:pPr>
              <w:widowControl w:val="0"/>
              <w:spacing w:line="240" w:lineRule="auto"/>
              <w:jc w:val="both"/>
              <w:rPr>
                <w:rFonts w:ascii="Verdana" w:hAnsi="Verdana"/>
                <w:b/>
                <w:sz w:val="24"/>
                <w:szCs w:val="18"/>
                <w:lang w:eastAsia="en-GB"/>
              </w:rPr>
            </w:pPr>
            <w:r w:rsidRPr="00DF1D96">
              <w:rPr>
                <w:rFonts w:ascii="Verdana" w:hAnsi="Verdana"/>
                <w:b/>
                <w:sz w:val="24"/>
                <w:szCs w:val="18"/>
                <w:lang w:eastAsia="en-GB"/>
              </w:rPr>
              <w:t>Labour market measure</w:t>
            </w:r>
          </w:p>
        </w:tc>
        <w:tc>
          <w:tcPr>
            <w:tcW w:w="1646" w:type="pct"/>
            <w:hideMark/>
          </w:tcPr>
          <w:p w:rsidR="00AD34C3" w:rsidRPr="00DF1D96" w:rsidRDefault="00497C9C" w:rsidP="00320CC4">
            <w:pPr>
              <w:widowControl w:val="0"/>
              <w:spacing w:line="240" w:lineRule="auto"/>
              <w:jc w:val="both"/>
              <w:rPr>
                <w:rFonts w:ascii="Verdana" w:hAnsi="Verdana"/>
                <w:b/>
                <w:sz w:val="24"/>
                <w:szCs w:val="18"/>
                <w:lang w:eastAsia="en-GB"/>
              </w:rPr>
            </w:pPr>
            <w:r w:rsidRPr="00DF1D96">
              <w:rPr>
                <w:rFonts w:ascii="Verdana" w:hAnsi="Verdana"/>
                <w:b/>
                <w:sz w:val="24"/>
                <w:szCs w:val="18"/>
                <w:lang w:eastAsia="en-GB"/>
              </w:rPr>
              <w:t>Disability Status</w:t>
            </w:r>
          </w:p>
        </w:tc>
        <w:tc>
          <w:tcPr>
            <w:tcW w:w="1461" w:type="pct"/>
            <w:gridSpan w:val="2"/>
          </w:tcPr>
          <w:p w:rsidR="00AD34C3" w:rsidRPr="00DF1D96" w:rsidRDefault="00497C9C" w:rsidP="00320CC4">
            <w:pPr>
              <w:widowControl w:val="0"/>
              <w:spacing w:line="240" w:lineRule="auto"/>
              <w:jc w:val="both"/>
              <w:rPr>
                <w:rFonts w:ascii="Verdana" w:hAnsi="Verdana"/>
                <w:b/>
                <w:sz w:val="24"/>
                <w:szCs w:val="18"/>
                <w:lang w:eastAsia="en-GB"/>
              </w:rPr>
            </w:pPr>
            <w:r w:rsidRPr="00DF1D96">
              <w:rPr>
                <w:rFonts w:ascii="Verdana" w:hAnsi="Verdana"/>
                <w:b/>
                <w:sz w:val="24"/>
                <w:szCs w:val="18"/>
                <w:lang w:eastAsia="en-GB"/>
              </w:rPr>
              <w:t>Survey quarter</w:t>
            </w:r>
          </w:p>
        </w:tc>
      </w:tr>
      <w:tr w:rsidR="00AD34C3" w:rsidRPr="00DF1D96" w:rsidTr="0042777A">
        <w:tc>
          <w:tcPr>
            <w:tcW w:w="1893" w:type="pct"/>
          </w:tcPr>
          <w:p w:rsidR="00AD34C3" w:rsidRPr="00DF1D96" w:rsidRDefault="00AD34C3" w:rsidP="00320CC4">
            <w:pPr>
              <w:widowControl w:val="0"/>
              <w:spacing w:line="240" w:lineRule="auto"/>
              <w:jc w:val="both"/>
              <w:rPr>
                <w:rFonts w:ascii="Verdana" w:hAnsi="Verdana" w:cs="Arial Mäori"/>
                <w:sz w:val="24"/>
                <w:szCs w:val="18"/>
              </w:rPr>
            </w:pPr>
          </w:p>
        </w:tc>
        <w:tc>
          <w:tcPr>
            <w:tcW w:w="1646" w:type="pct"/>
          </w:tcPr>
          <w:p w:rsidR="00AD34C3" w:rsidRPr="00DF1D96" w:rsidRDefault="00AD34C3" w:rsidP="00320CC4">
            <w:pPr>
              <w:widowControl w:val="0"/>
              <w:spacing w:line="240" w:lineRule="auto"/>
              <w:jc w:val="both"/>
              <w:rPr>
                <w:rFonts w:ascii="Verdana" w:hAnsi="Verdana" w:cs="Arial Mäori"/>
                <w:sz w:val="24"/>
                <w:szCs w:val="18"/>
              </w:rPr>
            </w:pPr>
          </w:p>
        </w:tc>
        <w:tc>
          <w:tcPr>
            <w:tcW w:w="740"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rPr>
              <w:t>June 2017</w:t>
            </w:r>
          </w:p>
        </w:tc>
        <w:tc>
          <w:tcPr>
            <w:tcW w:w="721"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rPr>
              <w:t>June 2018</w:t>
            </w:r>
          </w:p>
        </w:tc>
      </w:tr>
      <w:tr w:rsidR="00AD34C3" w:rsidRPr="00DF1D96" w:rsidTr="0042777A">
        <w:tc>
          <w:tcPr>
            <w:tcW w:w="1893" w:type="pct"/>
          </w:tcPr>
          <w:p w:rsidR="00AD34C3" w:rsidRPr="00DF1D96" w:rsidRDefault="00AD34C3" w:rsidP="00320CC4">
            <w:pPr>
              <w:widowControl w:val="0"/>
              <w:spacing w:line="240" w:lineRule="auto"/>
              <w:jc w:val="both"/>
              <w:rPr>
                <w:rFonts w:ascii="Verdana" w:hAnsi="Verdana" w:cs="Arial Mäori"/>
                <w:sz w:val="24"/>
                <w:szCs w:val="18"/>
              </w:rPr>
            </w:pPr>
            <w:r w:rsidRPr="00DF1D96">
              <w:rPr>
                <w:rFonts w:ascii="Verdana" w:hAnsi="Verdana" w:cs="Arial Mäori"/>
                <w:sz w:val="24"/>
                <w:szCs w:val="18"/>
              </w:rPr>
              <w:t>Labour force</w:t>
            </w:r>
          </w:p>
          <w:p w:rsidR="00AD34C3" w:rsidRPr="00DF1D96" w:rsidRDefault="00AD34C3" w:rsidP="00320CC4">
            <w:pPr>
              <w:widowControl w:val="0"/>
              <w:spacing w:line="240" w:lineRule="auto"/>
              <w:jc w:val="both"/>
              <w:rPr>
                <w:rFonts w:ascii="Verdana" w:hAnsi="Verdana"/>
                <w:sz w:val="24"/>
                <w:szCs w:val="18"/>
              </w:rPr>
            </w:pPr>
            <w:r w:rsidRPr="00DF1D96">
              <w:rPr>
                <w:rFonts w:ascii="Verdana" w:hAnsi="Verdana" w:cs="Arial Mäori"/>
                <w:sz w:val="24"/>
                <w:szCs w:val="18"/>
              </w:rPr>
              <w:t>participation rate</w:t>
            </w:r>
          </w:p>
        </w:tc>
        <w:tc>
          <w:tcPr>
            <w:tcW w:w="1646" w:type="pct"/>
          </w:tcPr>
          <w:p w:rsidR="00AD34C3" w:rsidRPr="00DF1D96" w:rsidRDefault="00AD34C3" w:rsidP="00320CC4">
            <w:pPr>
              <w:widowControl w:val="0"/>
              <w:spacing w:line="240" w:lineRule="auto"/>
              <w:jc w:val="both"/>
              <w:rPr>
                <w:rFonts w:ascii="Verdana" w:hAnsi="Verdana" w:cs="Arial Mäori"/>
                <w:sz w:val="24"/>
                <w:szCs w:val="18"/>
              </w:rPr>
            </w:pPr>
            <w:r w:rsidRPr="00DF1D96">
              <w:rPr>
                <w:rFonts w:ascii="Verdana" w:hAnsi="Verdana" w:cs="Arial Mäori"/>
                <w:sz w:val="24"/>
                <w:szCs w:val="18"/>
              </w:rPr>
              <w:t>Disabled adults</w:t>
            </w:r>
          </w:p>
        </w:tc>
        <w:tc>
          <w:tcPr>
            <w:tcW w:w="740" w:type="pct"/>
          </w:tcPr>
          <w:p w:rsidR="00AD34C3" w:rsidRPr="00DF1D96" w:rsidRDefault="00AD34C3" w:rsidP="00320CC4">
            <w:pPr>
              <w:widowControl w:val="0"/>
              <w:spacing w:line="240" w:lineRule="auto"/>
              <w:jc w:val="both"/>
              <w:rPr>
                <w:rFonts w:ascii="Verdana" w:hAnsi="Verdana" w:cs="Arial Mäori"/>
                <w:sz w:val="24"/>
                <w:szCs w:val="18"/>
              </w:rPr>
            </w:pPr>
            <w:r w:rsidRPr="00DF1D96">
              <w:rPr>
                <w:rFonts w:ascii="Verdana" w:hAnsi="Verdana" w:cs="Arial Mäori"/>
                <w:sz w:val="24"/>
                <w:szCs w:val="18"/>
              </w:rPr>
              <w:t>25.2</w:t>
            </w:r>
            <w:r w:rsidR="0029236A">
              <w:rPr>
                <w:rFonts w:ascii="Verdana" w:hAnsi="Verdana" w:cs="Arial Mäori"/>
                <w:sz w:val="24"/>
                <w:szCs w:val="18"/>
              </w:rPr>
              <w:t>%</w:t>
            </w:r>
          </w:p>
        </w:tc>
        <w:tc>
          <w:tcPr>
            <w:tcW w:w="721" w:type="pct"/>
          </w:tcPr>
          <w:p w:rsidR="00AD34C3" w:rsidRPr="00DF1D96" w:rsidRDefault="00AD34C3" w:rsidP="00320CC4">
            <w:pPr>
              <w:widowControl w:val="0"/>
              <w:spacing w:line="240" w:lineRule="auto"/>
              <w:jc w:val="both"/>
              <w:rPr>
                <w:rFonts w:ascii="Verdana" w:hAnsi="Verdana" w:cs="Arial Mäori"/>
                <w:sz w:val="24"/>
                <w:szCs w:val="18"/>
              </w:rPr>
            </w:pPr>
            <w:r w:rsidRPr="00DF1D96">
              <w:rPr>
                <w:rFonts w:ascii="Verdana" w:hAnsi="Verdana" w:cs="Arial Mäori"/>
                <w:sz w:val="24"/>
                <w:szCs w:val="18"/>
              </w:rPr>
              <w:t>25</w:t>
            </w:r>
            <w:r w:rsidR="0029236A">
              <w:rPr>
                <w:rFonts w:ascii="Verdana" w:hAnsi="Verdana" w:cs="Arial Mäori"/>
                <w:sz w:val="24"/>
                <w:szCs w:val="18"/>
              </w:rPr>
              <w:t>%</w:t>
            </w:r>
            <w:r w:rsidR="0029236A">
              <w:rPr>
                <w:rStyle w:val="FootnoteReference"/>
              </w:rPr>
              <w:footnoteReference w:id="219"/>
            </w:r>
          </w:p>
        </w:tc>
      </w:tr>
      <w:tr w:rsidR="00AD34C3" w:rsidRPr="00DF1D96" w:rsidTr="0042777A">
        <w:tc>
          <w:tcPr>
            <w:tcW w:w="1893" w:type="pct"/>
            <w:hideMark/>
          </w:tcPr>
          <w:p w:rsidR="00AD34C3" w:rsidRPr="00DF1D96" w:rsidRDefault="00AD34C3" w:rsidP="00320CC4">
            <w:pPr>
              <w:widowControl w:val="0"/>
              <w:spacing w:line="240" w:lineRule="auto"/>
              <w:jc w:val="both"/>
              <w:rPr>
                <w:rFonts w:ascii="Verdana" w:hAnsi="Verdana" w:cs="Arial Mäori"/>
                <w:sz w:val="24"/>
                <w:szCs w:val="18"/>
              </w:rPr>
            </w:pPr>
            <w:r w:rsidRPr="00DF1D96">
              <w:rPr>
                <w:rFonts w:ascii="Verdana" w:hAnsi="Verdana" w:cs="Arial Mäori"/>
                <w:sz w:val="24"/>
                <w:szCs w:val="18"/>
              </w:rPr>
              <w:t>Labour force</w:t>
            </w:r>
          </w:p>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cs="Arial Mäori"/>
                <w:sz w:val="24"/>
                <w:szCs w:val="18"/>
              </w:rPr>
              <w:t>participation rate</w:t>
            </w:r>
          </w:p>
        </w:tc>
        <w:tc>
          <w:tcPr>
            <w:tcW w:w="1646"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 xml:space="preserve">Non-disabled </w:t>
            </w:r>
            <w:r w:rsidRPr="00DF1D96">
              <w:rPr>
                <w:rFonts w:ascii="Verdana" w:hAnsi="Verdana" w:cs="Arial Mäori"/>
                <w:sz w:val="24"/>
                <w:szCs w:val="18"/>
              </w:rPr>
              <w:t>adults</w:t>
            </w:r>
          </w:p>
        </w:tc>
        <w:tc>
          <w:tcPr>
            <w:tcW w:w="740"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72.6</w:t>
            </w:r>
            <w:r w:rsidR="0029236A">
              <w:rPr>
                <w:rFonts w:ascii="Verdana" w:hAnsi="Verdana"/>
                <w:sz w:val="24"/>
                <w:szCs w:val="18"/>
                <w:lang w:eastAsia="en-GB"/>
              </w:rPr>
              <w:t>%</w:t>
            </w:r>
          </w:p>
        </w:tc>
        <w:tc>
          <w:tcPr>
            <w:tcW w:w="721"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73.2</w:t>
            </w:r>
            <w:r w:rsidR="0029236A">
              <w:rPr>
                <w:rFonts w:ascii="Verdana" w:hAnsi="Verdana"/>
                <w:sz w:val="24"/>
                <w:szCs w:val="18"/>
                <w:lang w:eastAsia="en-GB"/>
              </w:rPr>
              <w:t>%</w:t>
            </w:r>
            <w:r w:rsidR="0029236A">
              <w:rPr>
                <w:rStyle w:val="FootnoteReference"/>
              </w:rPr>
              <w:footnoteReference w:id="220"/>
            </w:r>
          </w:p>
        </w:tc>
      </w:tr>
      <w:tr w:rsidR="00AD34C3" w:rsidRPr="00DF1D96" w:rsidTr="0042777A">
        <w:tc>
          <w:tcPr>
            <w:tcW w:w="1893" w:type="pct"/>
            <w:hideMark/>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cs="Arial Mäori"/>
                <w:sz w:val="24"/>
                <w:szCs w:val="18"/>
              </w:rPr>
              <w:t>Employment rate</w:t>
            </w:r>
          </w:p>
        </w:tc>
        <w:tc>
          <w:tcPr>
            <w:tcW w:w="1646" w:type="pct"/>
          </w:tcPr>
          <w:p w:rsidR="00AD34C3" w:rsidRPr="00DF1D96" w:rsidRDefault="00AD34C3" w:rsidP="00320CC4">
            <w:pPr>
              <w:widowControl w:val="0"/>
              <w:spacing w:line="240" w:lineRule="auto"/>
              <w:jc w:val="both"/>
              <w:rPr>
                <w:rFonts w:ascii="Verdana" w:hAnsi="Verdana" w:cs="Arial Mäori"/>
                <w:sz w:val="24"/>
                <w:szCs w:val="18"/>
              </w:rPr>
            </w:pPr>
            <w:r w:rsidRPr="00DF1D96">
              <w:rPr>
                <w:rFonts w:ascii="Verdana" w:hAnsi="Verdana" w:cs="Arial Mäori"/>
                <w:sz w:val="24"/>
                <w:szCs w:val="18"/>
              </w:rPr>
              <w:t>Disabled adults</w:t>
            </w:r>
          </w:p>
        </w:tc>
        <w:tc>
          <w:tcPr>
            <w:tcW w:w="740"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22.4</w:t>
            </w:r>
            <w:r w:rsidR="0029236A">
              <w:rPr>
                <w:rFonts w:ascii="Verdana" w:hAnsi="Verdana"/>
                <w:sz w:val="24"/>
                <w:szCs w:val="18"/>
                <w:lang w:eastAsia="en-GB"/>
              </w:rPr>
              <w:t>%</w:t>
            </w:r>
          </w:p>
        </w:tc>
        <w:tc>
          <w:tcPr>
            <w:tcW w:w="721"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22.3</w:t>
            </w:r>
            <w:r w:rsidR="0029236A">
              <w:rPr>
                <w:rFonts w:ascii="Verdana" w:hAnsi="Verdana"/>
                <w:sz w:val="24"/>
                <w:szCs w:val="18"/>
                <w:lang w:eastAsia="en-GB"/>
              </w:rPr>
              <w:t>%</w:t>
            </w:r>
            <w:r w:rsidR="0029236A">
              <w:rPr>
                <w:rStyle w:val="FootnoteReference"/>
              </w:rPr>
              <w:footnoteReference w:id="221"/>
            </w:r>
          </w:p>
        </w:tc>
      </w:tr>
      <w:tr w:rsidR="00AD34C3" w:rsidRPr="00DF1D96" w:rsidTr="0042777A">
        <w:tc>
          <w:tcPr>
            <w:tcW w:w="1893" w:type="pct"/>
          </w:tcPr>
          <w:p w:rsidR="00AD34C3" w:rsidRPr="00DF1D96" w:rsidRDefault="00AD34C3" w:rsidP="00320CC4">
            <w:pPr>
              <w:widowControl w:val="0"/>
              <w:spacing w:line="240" w:lineRule="auto"/>
              <w:jc w:val="both"/>
              <w:rPr>
                <w:rFonts w:ascii="Verdana" w:hAnsi="Verdana"/>
                <w:sz w:val="24"/>
                <w:szCs w:val="18"/>
              </w:rPr>
            </w:pPr>
            <w:r w:rsidRPr="00DF1D96">
              <w:rPr>
                <w:rFonts w:ascii="Verdana" w:hAnsi="Verdana" w:cs="Arial Mäori"/>
                <w:sz w:val="24"/>
                <w:szCs w:val="18"/>
              </w:rPr>
              <w:t>Employment rate</w:t>
            </w:r>
          </w:p>
        </w:tc>
        <w:tc>
          <w:tcPr>
            <w:tcW w:w="1646"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 xml:space="preserve">Non-disabled </w:t>
            </w:r>
            <w:r w:rsidRPr="00DF1D96">
              <w:rPr>
                <w:rFonts w:ascii="Verdana" w:hAnsi="Verdana" w:cs="Arial Mäori"/>
                <w:sz w:val="24"/>
                <w:szCs w:val="18"/>
              </w:rPr>
              <w:t>adults</w:t>
            </w:r>
          </w:p>
        </w:tc>
        <w:tc>
          <w:tcPr>
            <w:tcW w:w="740" w:type="pct"/>
          </w:tcPr>
          <w:p w:rsidR="00AD34C3" w:rsidRPr="00DF1D96" w:rsidRDefault="00AD34C3" w:rsidP="00320CC4">
            <w:pPr>
              <w:widowControl w:val="0"/>
              <w:spacing w:line="240" w:lineRule="auto"/>
              <w:jc w:val="both"/>
              <w:rPr>
                <w:rFonts w:ascii="Verdana" w:hAnsi="Verdana" w:cs="Arial Mäori"/>
                <w:sz w:val="24"/>
                <w:szCs w:val="18"/>
              </w:rPr>
            </w:pPr>
            <w:r w:rsidRPr="00DF1D96">
              <w:rPr>
                <w:rFonts w:ascii="Verdana" w:hAnsi="Verdana" w:cs="Arial Mäori"/>
                <w:sz w:val="24"/>
                <w:szCs w:val="18"/>
              </w:rPr>
              <w:t>69.3</w:t>
            </w:r>
            <w:r w:rsidR="0029236A">
              <w:rPr>
                <w:rFonts w:ascii="Verdana" w:hAnsi="Verdana" w:cs="Arial Mäori"/>
                <w:sz w:val="24"/>
                <w:szCs w:val="18"/>
              </w:rPr>
              <w:t>%</w:t>
            </w:r>
          </w:p>
        </w:tc>
        <w:tc>
          <w:tcPr>
            <w:tcW w:w="721" w:type="pct"/>
          </w:tcPr>
          <w:p w:rsidR="00AD34C3" w:rsidRPr="00DF1D96" w:rsidRDefault="00AD34C3" w:rsidP="00320CC4">
            <w:pPr>
              <w:widowControl w:val="0"/>
              <w:spacing w:line="240" w:lineRule="auto"/>
              <w:jc w:val="both"/>
              <w:rPr>
                <w:rFonts w:ascii="Verdana" w:hAnsi="Verdana" w:cs="Arial Mäori"/>
                <w:sz w:val="24"/>
                <w:szCs w:val="18"/>
              </w:rPr>
            </w:pPr>
            <w:r w:rsidRPr="00DF1D96">
              <w:rPr>
                <w:rFonts w:ascii="Verdana" w:hAnsi="Verdana" w:cs="Arial Mäori"/>
                <w:sz w:val="24"/>
                <w:szCs w:val="18"/>
              </w:rPr>
              <w:t>70</w:t>
            </w:r>
            <w:r w:rsidR="0029236A">
              <w:rPr>
                <w:rFonts w:ascii="Verdana" w:hAnsi="Verdana" w:cs="Arial Mäori"/>
                <w:sz w:val="24"/>
                <w:szCs w:val="18"/>
              </w:rPr>
              <w:t>%</w:t>
            </w:r>
            <w:r w:rsidR="0029236A">
              <w:rPr>
                <w:rStyle w:val="FootnoteReference"/>
              </w:rPr>
              <w:footnoteReference w:id="222"/>
            </w:r>
          </w:p>
        </w:tc>
      </w:tr>
      <w:tr w:rsidR="00AD34C3" w:rsidRPr="00DF1D96" w:rsidTr="0042777A">
        <w:tc>
          <w:tcPr>
            <w:tcW w:w="1893"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cs="Arial Mäori"/>
                <w:sz w:val="24"/>
                <w:szCs w:val="18"/>
              </w:rPr>
              <w:t>Unemployment rate</w:t>
            </w:r>
          </w:p>
        </w:tc>
        <w:tc>
          <w:tcPr>
            <w:tcW w:w="1646" w:type="pct"/>
          </w:tcPr>
          <w:p w:rsidR="00AD34C3" w:rsidRPr="00DF1D96" w:rsidRDefault="00AD34C3" w:rsidP="00320CC4">
            <w:pPr>
              <w:widowControl w:val="0"/>
              <w:spacing w:line="240" w:lineRule="auto"/>
              <w:jc w:val="both"/>
              <w:rPr>
                <w:rFonts w:ascii="Verdana" w:hAnsi="Verdana" w:cs="Arial Mäori"/>
                <w:sz w:val="24"/>
                <w:szCs w:val="18"/>
              </w:rPr>
            </w:pPr>
            <w:r w:rsidRPr="00DF1D96">
              <w:rPr>
                <w:rFonts w:ascii="Verdana" w:hAnsi="Verdana" w:cs="Arial Mäori"/>
                <w:sz w:val="24"/>
                <w:szCs w:val="18"/>
              </w:rPr>
              <w:t>Disabled adults</w:t>
            </w:r>
          </w:p>
        </w:tc>
        <w:tc>
          <w:tcPr>
            <w:tcW w:w="740"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11.4</w:t>
            </w:r>
            <w:r w:rsidR="0029236A">
              <w:rPr>
                <w:rFonts w:ascii="Verdana" w:hAnsi="Verdana"/>
                <w:sz w:val="24"/>
                <w:szCs w:val="18"/>
                <w:lang w:eastAsia="en-GB"/>
              </w:rPr>
              <w:t>%</w:t>
            </w:r>
          </w:p>
        </w:tc>
        <w:tc>
          <w:tcPr>
            <w:tcW w:w="721"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10.6</w:t>
            </w:r>
            <w:r w:rsidR="0029236A">
              <w:rPr>
                <w:rFonts w:ascii="Verdana" w:hAnsi="Verdana"/>
                <w:sz w:val="24"/>
                <w:szCs w:val="18"/>
                <w:lang w:eastAsia="en-GB"/>
              </w:rPr>
              <w:t>%</w:t>
            </w:r>
            <w:r w:rsidR="0029236A">
              <w:rPr>
                <w:rStyle w:val="FootnoteReference"/>
              </w:rPr>
              <w:footnoteReference w:id="223"/>
            </w:r>
          </w:p>
        </w:tc>
      </w:tr>
      <w:tr w:rsidR="00AD34C3" w:rsidRPr="00DF1D96" w:rsidTr="0042777A">
        <w:tc>
          <w:tcPr>
            <w:tcW w:w="1893"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cs="Arial Mäori"/>
                <w:sz w:val="24"/>
                <w:szCs w:val="18"/>
              </w:rPr>
              <w:t>Unemployment rate</w:t>
            </w:r>
          </w:p>
        </w:tc>
        <w:tc>
          <w:tcPr>
            <w:tcW w:w="1646"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 xml:space="preserve">Non-disabled </w:t>
            </w:r>
            <w:r w:rsidRPr="00DF1D96">
              <w:rPr>
                <w:rFonts w:ascii="Verdana" w:hAnsi="Verdana" w:cs="Arial Mäori"/>
                <w:sz w:val="24"/>
                <w:szCs w:val="18"/>
              </w:rPr>
              <w:t>adults</w:t>
            </w:r>
          </w:p>
        </w:tc>
        <w:tc>
          <w:tcPr>
            <w:tcW w:w="740"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4.5</w:t>
            </w:r>
            <w:r w:rsidR="0029236A">
              <w:rPr>
                <w:rFonts w:ascii="Verdana" w:hAnsi="Verdana"/>
                <w:sz w:val="24"/>
                <w:szCs w:val="18"/>
                <w:lang w:eastAsia="en-GB"/>
              </w:rPr>
              <w:t>%</w:t>
            </w:r>
          </w:p>
        </w:tc>
        <w:tc>
          <w:tcPr>
            <w:tcW w:w="721" w:type="pct"/>
          </w:tcPr>
          <w:p w:rsidR="00AD34C3" w:rsidRPr="00DF1D96" w:rsidRDefault="00AD34C3" w:rsidP="00320CC4">
            <w:pPr>
              <w:widowControl w:val="0"/>
              <w:spacing w:line="240" w:lineRule="auto"/>
              <w:jc w:val="both"/>
              <w:rPr>
                <w:rFonts w:ascii="Verdana" w:hAnsi="Verdana"/>
                <w:sz w:val="24"/>
                <w:szCs w:val="18"/>
                <w:lang w:eastAsia="en-GB"/>
              </w:rPr>
            </w:pPr>
            <w:r w:rsidRPr="00DF1D96">
              <w:rPr>
                <w:rFonts w:ascii="Verdana" w:hAnsi="Verdana"/>
                <w:sz w:val="24"/>
                <w:szCs w:val="18"/>
                <w:lang w:eastAsia="en-GB"/>
              </w:rPr>
              <w:t>4.3</w:t>
            </w:r>
            <w:r w:rsidR="0029236A">
              <w:rPr>
                <w:rFonts w:ascii="Verdana" w:hAnsi="Verdana"/>
                <w:sz w:val="24"/>
                <w:szCs w:val="18"/>
                <w:lang w:eastAsia="en-GB"/>
              </w:rPr>
              <w:t>%</w:t>
            </w:r>
            <w:r w:rsidR="0029236A">
              <w:rPr>
                <w:rStyle w:val="FootnoteReference"/>
              </w:rPr>
              <w:footnoteReference w:id="224"/>
            </w:r>
          </w:p>
        </w:tc>
      </w:tr>
    </w:tbl>
    <w:p w:rsidR="00320CC4" w:rsidRDefault="00320CC4" w:rsidP="00320CC4">
      <w:pPr>
        <w:pStyle w:val="CRPD-subsectionheading"/>
        <w:numPr>
          <w:ilvl w:val="0"/>
          <w:numId w:val="0"/>
        </w:numPr>
        <w:spacing w:line="240" w:lineRule="auto"/>
      </w:pPr>
    </w:p>
    <w:p w:rsidR="00064B7F" w:rsidRPr="00EE3301" w:rsidRDefault="00064B7F" w:rsidP="00320CC4">
      <w:pPr>
        <w:pStyle w:val="CRPD-Questionstyle"/>
        <w:widowControl w:val="0"/>
        <w:spacing w:line="240" w:lineRule="auto"/>
        <w:rPr>
          <w:sz w:val="28"/>
          <w:lang w:val="en-NZ"/>
        </w:rPr>
      </w:pPr>
      <w:bookmarkStart w:id="15" w:name="_Hlk512418649"/>
      <w:bookmarkStart w:id="16" w:name="_Hlk512418782"/>
      <w:r w:rsidRPr="00EE3301">
        <w:rPr>
          <w:rFonts w:ascii="Times New Roman" w:hAnsi="Times New Roman"/>
          <w:sz w:val="28"/>
          <w:szCs w:val="24"/>
        </w:rPr>
        <w:t>Adequate standard of living and social protection (art. 28)</w:t>
      </w:r>
    </w:p>
    <w:p w:rsidR="00064B7F" w:rsidRPr="00237D85" w:rsidRDefault="00064B7F" w:rsidP="00320CC4">
      <w:pPr>
        <w:pStyle w:val="CRPD-Questionstyle"/>
        <w:widowControl w:val="0"/>
        <w:spacing w:line="240" w:lineRule="auto"/>
        <w:rPr>
          <w:lang w:val="en-NZ"/>
        </w:rPr>
      </w:pPr>
      <w:r w:rsidRPr="00237D85">
        <w:rPr>
          <w:lang w:val="en-NZ"/>
        </w:rPr>
        <w:t>26.</w:t>
      </w:r>
      <w:r w:rsidRPr="00237D85">
        <w:rPr>
          <w:lang w:val="en-NZ"/>
        </w:rPr>
        <w:tab/>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 xml:space="preserve">Data from the Housing </w:t>
      </w:r>
      <w:r w:rsidR="002D21E1">
        <w:rPr>
          <w:lang w:val="en-NZ"/>
        </w:rPr>
        <w:t>NZ</w:t>
      </w:r>
      <w:r w:rsidRPr="00237D85">
        <w:rPr>
          <w:lang w:val="en-NZ"/>
        </w:rPr>
        <w:t xml:space="preserve"> Corporation, Ministry of Social Development and other relevant sources of data as to: </w:t>
      </w:r>
      <w:bookmarkEnd w:id="15"/>
    </w:p>
    <w:p w:rsidR="00731A45" w:rsidRPr="009D6732" w:rsidRDefault="00731A45" w:rsidP="00320CC4">
      <w:pPr>
        <w:pStyle w:val="CRPD-Questionstyle"/>
        <w:spacing w:line="240" w:lineRule="auto"/>
      </w:pPr>
      <w:r w:rsidRPr="009D6732">
        <w:t xml:space="preserve">(i) the eligibility to apply for social housing; </w:t>
      </w:r>
    </w:p>
    <w:p w:rsidR="00731A45" w:rsidRPr="00237D85" w:rsidRDefault="00B94617" w:rsidP="00320CC4">
      <w:pPr>
        <w:pStyle w:val="CRPD-subsectionheading"/>
        <w:spacing w:line="240" w:lineRule="auto"/>
      </w:pPr>
      <w:r>
        <w:t>E</w:t>
      </w:r>
      <w:r w:rsidR="00731A45" w:rsidRPr="00237D85">
        <w:t xml:space="preserve">ligibility for public housing </w:t>
      </w:r>
      <w:r>
        <w:t>is</w:t>
      </w:r>
      <w:r w:rsidR="00731A45" w:rsidRPr="00237D85">
        <w:t xml:space="preserve"> assessed against five criteria, regarding whether the person: </w:t>
      </w:r>
    </w:p>
    <w:p w:rsidR="00731A45" w:rsidRPr="00237D85" w:rsidRDefault="00731A45" w:rsidP="00320CC4">
      <w:pPr>
        <w:pStyle w:val="CRPDStateParty-bullets"/>
        <w:widowControl w:val="0"/>
        <w:spacing w:line="240" w:lineRule="auto"/>
      </w:pPr>
      <w:r w:rsidRPr="00237D85">
        <w:t xml:space="preserve">needs accommodation or </w:t>
      </w:r>
      <w:r w:rsidR="001002ED">
        <w:t xml:space="preserve">needs </w:t>
      </w:r>
      <w:r w:rsidRPr="00237D85">
        <w:t>to move from their current accommodation (adequacy)</w:t>
      </w:r>
    </w:p>
    <w:p w:rsidR="00731A45" w:rsidRPr="00237D85" w:rsidRDefault="00731A45" w:rsidP="00320CC4">
      <w:pPr>
        <w:pStyle w:val="CRPDStateParty-bullets"/>
        <w:widowControl w:val="0"/>
        <w:spacing w:line="240" w:lineRule="auto"/>
      </w:pPr>
      <w:r w:rsidRPr="00237D85">
        <w:t>needs to move due to medical, disability, personal or family needs (suitability)</w:t>
      </w:r>
    </w:p>
    <w:p w:rsidR="00731A45" w:rsidRPr="00237D85" w:rsidRDefault="00731A45" w:rsidP="00320CC4">
      <w:pPr>
        <w:pStyle w:val="CRPDStateParty-bullets"/>
        <w:widowControl w:val="0"/>
        <w:spacing w:line="240" w:lineRule="auto"/>
      </w:pPr>
      <w:r w:rsidRPr="00237D85">
        <w:t>cannot afford suitable housing in the private market (affordability)</w:t>
      </w:r>
    </w:p>
    <w:p w:rsidR="00731A45" w:rsidRPr="00237D85" w:rsidRDefault="00731A45" w:rsidP="00320CC4">
      <w:pPr>
        <w:pStyle w:val="CRPDStateParty-bullets"/>
        <w:widowControl w:val="0"/>
        <w:spacing w:line="240" w:lineRule="auto"/>
      </w:pPr>
      <w:r w:rsidRPr="00237D85">
        <w:lastRenderedPageBreak/>
        <w:t>cannot access and afford adequate housing as a result of discrimination</w:t>
      </w:r>
      <w:r w:rsidR="00940EE2">
        <w:t xml:space="preserve"> </w:t>
      </w:r>
      <w:r w:rsidR="00940EE2">
        <w:rPr>
          <w:lang w:val="en-NZ"/>
        </w:rPr>
        <w:t>(including discrimination on the basis of disability)</w:t>
      </w:r>
      <w:r w:rsidRPr="00237D85">
        <w:t xml:space="preserve"> or their lack of financial means in the private market (accessibility)</w:t>
      </w:r>
    </w:p>
    <w:p w:rsidR="00731A45" w:rsidRPr="00237D85" w:rsidRDefault="00731A45" w:rsidP="00320CC4">
      <w:pPr>
        <w:pStyle w:val="CRPDStateParty-bullets"/>
        <w:widowControl w:val="0"/>
        <w:spacing w:line="240" w:lineRule="auto"/>
      </w:pPr>
      <w:r w:rsidRPr="00237D85">
        <w:t>has a lack of social or financial management skills which makes it difficult for them to sustain a tenancy (sustainability).</w:t>
      </w:r>
      <w:r w:rsidR="001248AE">
        <w:t xml:space="preserve"> </w:t>
      </w:r>
    </w:p>
    <w:p w:rsidR="00731A45" w:rsidRPr="00237D85" w:rsidRDefault="00731A45" w:rsidP="00320CC4">
      <w:pPr>
        <w:pStyle w:val="CRPD-Questionstyle"/>
        <w:spacing w:line="240" w:lineRule="auto"/>
      </w:pPr>
      <w:r w:rsidRPr="00237D85">
        <w:t xml:space="preserve">(ii) the average and median time for people requiring disability-related modified housing; </w:t>
      </w:r>
    </w:p>
    <w:p w:rsidR="00B94617" w:rsidRDefault="00B94617" w:rsidP="00320CC4">
      <w:pPr>
        <w:pStyle w:val="CRPD-subsectionheading"/>
        <w:spacing w:line="240" w:lineRule="auto"/>
      </w:pPr>
      <w:r>
        <w:t xml:space="preserve">From 1 January 2018 to </w:t>
      </w:r>
      <w:r w:rsidRPr="00237D85">
        <w:t>31 March 2018</w:t>
      </w:r>
      <w:r>
        <w:t>:</w:t>
      </w:r>
    </w:p>
    <w:p w:rsidR="0067289A" w:rsidRDefault="00940EE2" w:rsidP="00320CC4">
      <w:pPr>
        <w:pStyle w:val="CRPDStateParty-bullets"/>
        <w:widowControl w:val="0"/>
        <w:spacing w:line="240" w:lineRule="auto"/>
      </w:pPr>
      <w:r>
        <w:t>t</w:t>
      </w:r>
      <w:r w:rsidR="0067289A">
        <w:t>he av</w:t>
      </w:r>
      <w:r w:rsidR="0067289A" w:rsidRPr="00237D85">
        <w:t>erage time to house was</w:t>
      </w:r>
      <w:r w:rsidR="0067289A">
        <w:t xml:space="preserve"> </w:t>
      </w:r>
      <w:r w:rsidR="0067289A" w:rsidRPr="00237D85">
        <w:t>385 days for applicants requiring a modi</w:t>
      </w:r>
      <w:r w:rsidR="0067289A">
        <w:t>fied property</w:t>
      </w:r>
      <w:r w:rsidR="0067289A" w:rsidRPr="001277B3">
        <w:t xml:space="preserve"> </w:t>
      </w:r>
      <w:r w:rsidR="0067289A">
        <w:t xml:space="preserve">compared to </w:t>
      </w:r>
      <w:r w:rsidR="0067289A" w:rsidRPr="00237D85">
        <w:t>120 da</w:t>
      </w:r>
      <w:r w:rsidR="0067289A">
        <w:t>ys for applicants no</w:t>
      </w:r>
      <w:r>
        <w:t>t requiring a modified property</w:t>
      </w:r>
    </w:p>
    <w:p w:rsidR="00B94617" w:rsidRDefault="00940EE2" w:rsidP="00320CC4">
      <w:pPr>
        <w:pStyle w:val="CRPDStateParty-bullets"/>
        <w:widowControl w:val="0"/>
        <w:spacing w:line="240" w:lineRule="auto"/>
      </w:pPr>
      <w:r>
        <w:t>t</w:t>
      </w:r>
      <w:r w:rsidR="00B94617" w:rsidRPr="00237D85">
        <w:t xml:space="preserve">he median time </w:t>
      </w:r>
      <w:r w:rsidR="00B94617">
        <w:t xml:space="preserve">to house was </w:t>
      </w:r>
      <w:r w:rsidR="00B94617" w:rsidRPr="00237D85">
        <w:t>361 days</w:t>
      </w:r>
      <w:r w:rsidR="00B94617">
        <w:t xml:space="preserve"> </w:t>
      </w:r>
      <w:r w:rsidR="00B94617" w:rsidRPr="00237D85">
        <w:t>for applicants requiring a modi</w:t>
      </w:r>
      <w:r w:rsidR="00B94617">
        <w:t>fied property</w:t>
      </w:r>
      <w:r w:rsidR="00B94617" w:rsidRPr="00237D85">
        <w:t xml:space="preserve"> </w:t>
      </w:r>
      <w:r w:rsidR="00B94617">
        <w:t>compared to 64 days for applicants not requiring a modified property</w:t>
      </w:r>
      <w:r w:rsidR="00B94617">
        <w:rPr>
          <w:rStyle w:val="FootnoteReference"/>
        </w:rPr>
        <w:footnoteReference w:id="225"/>
      </w:r>
    </w:p>
    <w:p w:rsidR="0067289A" w:rsidRPr="00237D85" w:rsidRDefault="00940EE2" w:rsidP="00320CC4">
      <w:pPr>
        <w:pStyle w:val="CRPDStateParty-bullets"/>
        <w:widowControl w:val="0"/>
        <w:spacing w:line="240" w:lineRule="auto"/>
      </w:pPr>
      <w:r>
        <w:t>e</w:t>
      </w:r>
      <w:r w:rsidR="00B94617">
        <w:t>ight</w:t>
      </w:r>
      <w:r w:rsidR="00B94617" w:rsidRPr="00237D85">
        <w:t xml:space="preserve"> households who required a modified propert</w:t>
      </w:r>
      <w:r w:rsidR="00B94617">
        <w:t>y were housed.</w:t>
      </w:r>
    </w:p>
    <w:p w:rsidR="001242EB" w:rsidRDefault="001242EB" w:rsidP="00320CC4">
      <w:pPr>
        <w:pStyle w:val="CRPD-subsectionheading"/>
        <w:spacing w:line="240" w:lineRule="auto"/>
      </w:pPr>
      <w:r w:rsidRPr="001242EB">
        <w:t>The Government is considering ways to improve accessibility for disabled people in public housing. This includes exploring how to include universal design principles when building new houses, where this is not already done.</w:t>
      </w:r>
    </w:p>
    <w:p w:rsidR="00731A45" w:rsidRPr="00237D85" w:rsidRDefault="001242EB" w:rsidP="00320CC4">
      <w:pPr>
        <w:pStyle w:val="CRPD-Questionstyle"/>
        <w:spacing w:line="240" w:lineRule="auto"/>
      </w:pPr>
      <w:r w:rsidRPr="00237D85">
        <w:t xml:space="preserve"> </w:t>
      </w:r>
      <w:r w:rsidR="00731A45" w:rsidRPr="00237D85">
        <w:t xml:space="preserve">(iii) the number and proportion of people requiring disability-related modified housing; </w:t>
      </w:r>
    </w:p>
    <w:p w:rsidR="000D3085" w:rsidRDefault="003411F7" w:rsidP="00320CC4">
      <w:pPr>
        <w:pStyle w:val="CRPD-subsectionheading"/>
        <w:spacing w:line="240" w:lineRule="auto"/>
      </w:pPr>
      <w:r>
        <w:t>The Government does not collect data on how many people</w:t>
      </w:r>
      <w:r w:rsidR="000D3085">
        <w:t xml:space="preserve"> </w:t>
      </w:r>
      <w:r>
        <w:t xml:space="preserve">require disability-related modified housing. However, we </w:t>
      </w:r>
      <w:r w:rsidR="000D3085">
        <w:t>know</w:t>
      </w:r>
      <w:r>
        <w:t xml:space="preserve"> </w:t>
      </w:r>
      <w:r w:rsidR="000D3085">
        <w:t>the</w:t>
      </w:r>
      <w:r>
        <w:t xml:space="preserve"> numbers of people requiring disability-related modified housing</w:t>
      </w:r>
      <w:r w:rsidR="000D3085">
        <w:t xml:space="preserve"> who:</w:t>
      </w:r>
    </w:p>
    <w:p w:rsidR="00552181" w:rsidRPr="00540365" w:rsidRDefault="00552181" w:rsidP="00320CC4">
      <w:pPr>
        <w:pStyle w:val="CRPDStateParty-bullets"/>
        <w:widowControl w:val="0"/>
        <w:spacing w:line="240" w:lineRule="auto"/>
      </w:pPr>
      <w:r w:rsidRPr="00552181">
        <w:t xml:space="preserve">are in </w:t>
      </w:r>
      <w:r w:rsidRPr="00540365">
        <w:t xml:space="preserve">temporary accommodation </w:t>
      </w:r>
      <w:r w:rsidR="00B70EBF">
        <w:t>including</w:t>
      </w:r>
      <w:r w:rsidRPr="00540365">
        <w:t xml:space="preserve"> emergency (often a motel) or transitional housing to meet their immediate housing need</w:t>
      </w:r>
    </w:p>
    <w:p w:rsidR="000D3085" w:rsidRPr="00540365" w:rsidRDefault="000D3085" w:rsidP="00320CC4">
      <w:pPr>
        <w:pStyle w:val="CRPDStateParty-bullets"/>
        <w:widowControl w:val="0"/>
        <w:spacing w:line="240" w:lineRule="auto"/>
      </w:pPr>
      <w:r w:rsidRPr="00540365">
        <w:t xml:space="preserve">live in Housing NZ Corporation housing or Community Housing </w:t>
      </w:r>
    </w:p>
    <w:p w:rsidR="003411F7" w:rsidRDefault="000D3085" w:rsidP="00320CC4">
      <w:pPr>
        <w:pStyle w:val="CRPDStateParty-bullets"/>
        <w:widowControl w:val="0"/>
        <w:spacing w:line="240" w:lineRule="auto"/>
      </w:pPr>
      <w:r w:rsidRPr="00540365">
        <w:t xml:space="preserve">are funded </w:t>
      </w:r>
      <w:r w:rsidR="00F355C0" w:rsidRPr="00540365">
        <w:t xml:space="preserve">for </w:t>
      </w:r>
      <w:r w:rsidRPr="00540365">
        <w:t>housing</w:t>
      </w:r>
      <w:r>
        <w:t xml:space="preserve"> modification</w:t>
      </w:r>
      <w:r w:rsidR="00F355C0">
        <w:t>s</w:t>
      </w:r>
      <w:r>
        <w:t xml:space="preserve"> by the Ministry of Health</w:t>
      </w:r>
      <w:r w:rsidR="00A66CD1">
        <w:t xml:space="preserve"> or ACC</w:t>
      </w:r>
      <w:r>
        <w:t xml:space="preserve"> (see </w:t>
      </w:r>
      <w:r w:rsidR="00A96E48">
        <w:t>question</w:t>
      </w:r>
      <w:r w:rsidRPr="00237D85">
        <w:t xml:space="preserve"> 26(a)</w:t>
      </w:r>
      <w:r>
        <w:t>(iv)).</w:t>
      </w:r>
    </w:p>
    <w:p w:rsidR="003411F7" w:rsidRPr="00237D85" w:rsidRDefault="003411F7" w:rsidP="00320CC4">
      <w:pPr>
        <w:pStyle w:val="CRPD-subsectionheading"/>
        <w:spacing w:line="240" w:lineRule="auto"/>
      </w:pPr>
      <w:r w:rsidRPr="00237D85">
        <w:t>As at 31 December 2017</w:t>
      </w:r>
      <w:r>
        <w:t>, on the social housing register</w:t>
      </w:r>
      <w:r w:rsidRPr="00237D85">
        <w:t>:</w:t>
      </w:r>
    </w:p>
    <w:p w:rsidR="003411F7" w:rsidRPr="00540365" w:rsidRDefault="003411F7" w:rsidP="00320CC4">
      <w:pPr>
        <w:pStyle w:val="CRPDStateParty-bullets"/>
        <w:widowControl w:val="0"/>
        <w:spacing w:line="240" w:lineRule="auto"/>
      </w:pPr>
      <w:r w:rsidRPr="00237D85">
        <w:lastRenderedPageBreak/>
        <w:t xml:space="preserve">408 </w:t>
      </w:r>
      <w:r w:rsidRPr="00540365">
        <w:t xml:space="preserve">applicants required a disability-related modified house </w:t>
      </w:r>
    </w:p>
    <w:p w:rsidR="003411F7" w:rsidRPr="00540365" w:rsidRDefault="00940EE2" w:rsidP="00320CC4">
      <w:pPr>
        <w:pStyle w:val="CRPDStateParty-bullets"/>
        <w:widowControl w:val="0"/>
        <w:spacing w:line="240" w:lineRule="auto"/>
      </w:pPr>
      <w:r>
        <w:t>t</w:t>
      </w:r>
      <w:r w:rsidR="003411F7" w:rsidRPr="00540365">
        <w:t>his equates to 5.3</w:t>
      </w:r>
      <w:r w:rsidR="00922AFF">
        <w:t>%</w:t>
      </w:r>
      <w:r w:rsidR="003411F7" w:rsidRPr="00540365">
        <w:t xml:space="preserve"> of applicants requiring a dis</w:t>
      </w:r>
      <w:r>
        <w:t>ability-related modified house</w:t>
      </w:r>
    </w:p>
    <w:p w:rsidR="003411F7" w:rsidRDefault="003411F7" w:rsidP="00320CC4">
      <w:pPr>
        <w:pStyle w:val="CRPDStateParty-bullets"/>
        <w:widowControl w:val="0"/>
        <w:spacing w:line="240" w:lineRule="auto"/>
      </w:pPr>
      <w:r w:rsidRPr="00540365">
        <w:t>76.5</w:t>
      </w:r>
      <w:r w:rsidR="00922AFF">
        <w:t>%</w:t>
      </w:r>
      <w:r w:rsidRPr="00540365">
        <w:t xml:space="preserve"> of applicants who required a disability-related modified house</w:t>
      </w:r>
      <w:r w:rsidRPr="00237D85">
        <w:t xml:space="preserve"> were</w:t>
      </w:r>
      <w:r>
        <w:t xml:space="preserve"> considered</w:t>
      </w:r>
      <w:r w:rsidRPr="00237D85">
        <w:t xml:space="preserve"> the highest</w:t>
      </w:r>
      <w:r>
        <w:t xml:space="preserve"> priority on the register. </w:t>
      </w:r>
    </w:p>
    <w:p w:rsidR="003411F7" w:rsidRPr="00237D85" w:rsidRDefault="003411F7" w:rsidP="00320CC4">
      <w:pPr>
        <w:pStyle w:val="CRPD-subsectionheading"/>
        <w:spacing w:line="240" w:lineRule="auto"/>
      </w:pPr>
      <w:r>
        <w:t xml:space="preserve">As at </w:t>
      </w:r>
      <w:r w:rsidRPr="00237D85">
        <w:t>31 December 2017</w:t>
      </w:r>
      <w:r>
        <w:t xml:space="preserve">, </w:t>
      </w:r>
      <w:r w:rsidRPr="00237D85">
        <w:t>across H</w:t>
      </w:r>
      <w:r>
        <w:t xml:space="preserve">ousing </w:t>
      </w:r>
      <w:r w:rsidRPr="00237D85">
        <w:t>NZ</w:t>
      </w:r>
      <w:r>
        <w:t xml:space="preserve"> </w:t>
      </w:r>
      <w:r w:rsidRPr="00237D85">
        <w:t>C</w:t>
      </w:r>
      <w:r>
        <w:t>orporation</w:t>
      </w:r>
      <w:r w:rsidRPr="00237D85">
        <w:t xml:space="preserve"> and Community Housing Providers</w:t>
      </w:r>
      <w:r>
        <w:t>:</w:t>
      </w:r>
    </w:p>
    <w:p w:rsidR="003411F7" w:rsidRPr="00540365" w:rsidRDefault="003411F7" w:rsidP="00320CC4">
      <w:pPr>
        <w:pStyle w:val="CRPDStateParty-bullets"/>
        <w:widowControl w:val="0"/>
        <w:spacing w:line="240" w:lineRule="auto"/>
      </w:pPr>
      <w:r w:rsidRPr="00237D85">
        <w:t xml:space="preserve">4,268 </w:t>
      </w:r>
      <w:r>
        <w:t xml:space="preserve">tenancies </w:t>
      </w:r>
      <w:r w:rsidRPr="00237D85">
        <w:t>had a</w:t>
      </w:r>
      <w:r>
        <w:t xml:space="preserve"> </w:t>
      </w:r>
      <w:r w:rsidRPr="00540365">
        <w:t>disability-related modified house due to a household member’s disability</w:t>
      </w:r>
    </w:p>
    <w:p w:rsidR="003411F7" w:rsidRDefault="005E79A3" w:rsidP="00320CC4">
      <w:pPr>
        <w:pStyle w:val="CRPDStateParty-bullets"/>
        <w:widowControl w:val="0"/>
        <w:spacing w:line="240" w:lineRule="auto"/>
      </w:pPr>
      <w:r>
        <w:t>t</w:t>
      </w:r>
      <w:r w:rsidR="003411F7" w:rsidRPr="00540365">
        <w:t>his equates to 6.5</w:t>
      </w:r>
      <w:r w:rsidR="00922AFF">
        <w:t>%</w:t>
      </w:r>
      <w:r w:rsidR="003411F7">
        <w:t xml:space="preserve"> of all tenancies</w:t>
      </w:r>
      <w:r w:rsidR="003411F7">
        <w:rPr>
          <w:rStyle w:val="FootnoteReference"/>
        </w:rPr>
        <w:footnoteReference w:id="226"/>
      </w:r>
      <w:r w:rsidR="003411F7">
        <w:t xml:space="preserve">. </w:t>
      </w:r>
    </w:p>
    <w:p w:rsidR="00731A45" w:rsidRPr="00237D85" w:rsidRDefault="00731A45" w:rsidP="00320CC4">
      <w:pPr>
        <w:pStyle w:val="CRPD-Questionstyle"/>
        <w:spacing w:line="240" w:lineRule="auto"/>
      </w:pPr>
      <w:r w:rsidRPr="00237D85">
        <w:t>(iv) the number of housing modification grants, and resources granted over the past five years with a breakdown for grants for owner-occupied homes and privately rented houses;</w:t>
      </w:r>
    </w:p>
    <w:p w:rsidR="00731A45" w:rsidRPr="00237D85" w:rsidRDefault="00731A45" w:rsidP="00320CC4">
      <w:pPr>
        <w:pStyle w:val="CRPD-subsectionheading"/>
        <w:spacing w:line="240" w:lineRule="auto"/>
      </w:pPr>
      <w:r w:rsidRPr="00237D85">
        <w:t>The Ministry of Health funded 10,851 grants for housing modifications over th</w:t>
      </w:r>
      <w:r w:rsidR="00D66922">
        <w:t>is reporting period</w:t>
      </w:r>
      <w:r w:rsidR="008208E6">
        <w:rPr>
          <w:rStyle w:val="FootnoteReference"/>
        </w:rPr>
        <w:footnoteReference w:id="227"/>
      </w:r>
      <w:r w:rsidRPr="00237D85">
        <w:t>.</w:t>
      </w:r>
      <w:r w:rsidR="0070137C">
        <w:t xml:space="preserve"> </w:t>
      </w:r>
      <w:r w:rsidRPr="00237D85">
        <w:t>Some families may be required to contribute some or all of the cost of these modifications depending on their housing situation. The Government funded housing modifications in:</w:t>
      </w:r>
    </w:p>
    <w:p w:rsidR="00731A45" w:rsidRPr="00540365" w:rsidRDefault="00731A45" w:rsidP="00320CC4">
      <w:pPr>
        <w:pStyle w:val="CRPDStateParty-bullets"/>
        <w:widowControl w:val="0"/>
        <w:spacing w:line="240" w:lineRule="auto"/>
      </w:pPr>
      <w:r w:rsidRPr="00237D85">
        <w:rPr>
          <w:lang w:val="en-NZ"/>
        </w:rPr>
        <w:t>7</w:t>
      </w:r>
      <w:r w:rsidRPr="00540365">
        <w:t>,759 cases for disabled p</w:t>
      </w:r>
      <w:r w:rsidR="000D3085" w:rsidRPr="00540365">
        <w:t>eople living in their own homes</w:t>
      </w:r>
      <w:r w:rsidR="00D66922" w:rsidRPr="00540365">
        <w:t xml:space="preserve"> (71.5</w:t>
      </w:r>
      <w:r w:rsidR="00922AFF">
        <w:t>%</w:t>
      </w:r>
      <w:r w:rsidR="0070137C" w:rsidRPr="00540365">
        <w:t>)</w:t>
      </w:r>
    </w:p>
    <w:p w:rsidR="00731A45" w:rsidRPr="00540365" w:rsidRDefault="00731A45" w:rsidP="00320CC4">
      <w:pPr>
        <w:pStyle w:val="CRPDStateParty-bullets"/>
        <w:widowControl w:val="0"/>
        <w:spacing w:line="240" w:lineRule="auto"/>
      </w:pPr>
      <w:r w:rsidRPr="00540365">
        <w:t>1,416 cases for disabled people li</w:t>
      </w:r>
      <w:r w:rsidR="000D3085" w:rsidRPr="00540365">
        <w:t>ving in privately rented houses</w:t>
      </w:r>
      <w:r w:rsidRPr="00540365">
        <w:t xml:space="preserve"> </w:t>
      </w:r>
      <w:r w:rsidR="0070137C" w:rsidRPr="00540365">
        <w:t>(13</w:t>
      </w:r>
      <w:r w:rsidR="00922AFF">
        <w:t>%</w:t>
      </w:r>
      <w:r w:rsidR="0070137C" w:rsidRPr="00540365">
        <w:t xml:space="preserve">) </w:t>
      </w:r>
    </w:p>
    <w:p w:rsidR="00731A45" w:rsidRDefault="00731A45" w:rsidP="00320CC4">
      <w:pPr>
        <w:pStyle w:val="CRPDStateParty-bullets"/>
        <w:widowControl w:val="0"/>
        <w:spacing w:line="240" w:lineRule="auto"/>
        <w:rPr>
          <w:lang w:val="en-NZ"/>
        </w:rPr>
      </w:pPr>
      <w:r w:rsidRPr="00540365">
        <w:t>1,676 cases</w:t>
      </w:r>
      <w:r w:rsidRPr="00237D85">
        <w:rPr>
          <w:lang w:val="en-NZ"/>
        </w:rPr>
        <w:t xml:space="preserve"> for disabled people living in social housing</w:t>
      </w:r>
      <w:r w:rsidRPr="00237D85">
        <w:rPr>
          <w:rStyle w:val="FootnoteReference"/>
          <w:rFonts w:ascii="Verdana" w:hAnsi="Verdana"/>
          <w:sz w:val="20"/>
          <w:lang w:val="en-NZ"/>
        </w:rPr>
        <w:footnoteReference w:id="228"/>
      </w:r>
      <w:r w:rsidR="0070137C">
        <w:rPr>
          <w:lang w:val="en-NZ"/>
        </w:rPr>
        <w:t xml:space="preserve"> (15.5</w:t>
      </w:r>
      <w:r w:rsidR="00922AFF">
        <w:rPr>
          <w:lang w:val="en-NZ"/>
        </w:rPr>
        <w:t>%</w:t>
      </w:r>
      <w:r w:rsidR="0070137C">
        <w:rPr>
          <w:lang w:val="en-NZ"/>
        </w:rPr>
        <w:t>)</w:t>
      </w:r>
      <w:r w:rsidR="0048577E">
        <w:rPr>
          <w:rStyle w:val="FootnoteReference"/>
          <w:lang w:val="en-NZ"/>
        </w:rPr>
        <w:footnoteReference w:id="229"/>
      </w:r>
      <w:r w:rsidRPr="00237D85">
        <w:rPr>
          <w:lang w:val="en-NZ"/>
        </w:rPr>
        <w:t>.</w:t>
      </w:r>
      <w:r w:rsidR="001248AE">
        <w:rPr>
          <w:lang w:val="en-NZ"/>
        </w:rPr>
        <w:t xml:space="preserve"> </w:t>
      </w:r>
    </w:p>
    <w:p w:rsidR="00CA1782" w:rsidRPr="00237D85" w:rsidRDefault="00285A6D" w:rsidP="00320CC4">
      <w:pPr>
        <w:pStyle w:val="CRPD-subsectionheading"/>
        <w:spacing w:line="240" w:lineRule="auto"/>
      </w:pPr>
      <w:r>
        <w:t>ACC funded 9,2</w:t>
      </w:r>
      <w:r w:rsidR="00EB0F8F">
        <w:t>9</w:t>
      </w:r>
      <w:r>
        <w:t>5</w:t>
      </w:r>
      <w:r w:rsidR="00EB0F8F">
        <w:rPr>
          <w:rStyle w:val="FootnoteReference"/>
        </w:rPr>
        <w:footnoteReference w:id="230"/>
      </w:r>
      <w:r w:rsidR="00EB0F8F">
        <w:t xml:space="preserve"> grants for housing modifications over this reporting period</w:t>
      </w:r>
      <w:r w:rsidR="008208E6">
        <w:rPr>
          <w:rStyle w:val="FootnoteReference"/>
        </w:rPr>
        <w:footnoteReference w:id="231"/>
      </w:r>
      <w:r w:rsidR="00EB0F8F">
        <w:t xml:space="preserve">. Modifications range from ramps and rails to complex modifications </w:t>
      </w:r>
      <w:r w:rsidR="00B70EBF">
        <w:t>including</w:t>
      </w:r>
      <w:r w:rsidR="00EB0F8F">
        <w:t xml:space="preserve"> floor lifts and home extensions. </w:t>
      </w:r>
      <w:r w:rsidRPr="00285A6D">
        <w:t>ACC funds in full, the most cost effective housing modification solution to meet a person’s assessed injury related needs.</w:t>
      </w:r>
    </w:p>
    <w:p w:rsidR="00731A45" w:rsidRPr="00237D85" w:rsidRDefault="00731A45" w:rsidP="00320CC4">
      <w:pPr>
        <w:pStyle w:val="CRPD-Questionstyle"/>
        <w:spacing w:line="240" w:lineRule="auto"/>
      </w:pPr>
      <w:r w:rsidRPr="00237D85">
        <w:lastRenderedPageBreak/>
        <w:t xml:space="preserve">(v) the number and proportion of Housing </w:t>
      </w:r>
      <w:r w:rsidR="002D21E1">
        <w:t>NZ</w:t>
      </w:r>
      <w:r w:rsidRPr="00237D85">
        <w:t xml:space="preserve"> Corporation houses that have been built or modified for disability-related reasons since the previous dialogue with the Committee;</w:t>
      </w:r>
    </w:p>
    <w:p w:rsidR="00731A45" w:rsidRPr="00237D85" w:rsidRDefault="00731A45" w:rsidP="00320CC4">
      <w:pPr>
        <w:pStyle w:val="CRPD-subsectionheading"/>
        <w:spacing w:line="240" w:lineRule="auto"/>
      </w:pPr>
      <w:bookmarkStart w:id="17" w:name="_Hlk512418695"/>
      <w:r w:rsidRPr="00237D85">
        <w:t xml:space="preserve">Housing </w:t>
      </w:r>
      <w:r w:rsidR="009E2C58">
        <w:t>NZ Corporation</w:t>
      </w:r>
      <w:r w:rsidRPr="00237D85">
        <w:t xml:space="preserve"> built or modified 441 houses for disability-related reasons between January 2014 and April 2018. </w:t>
      </w:r>
      <w:bookmarkEnd w:id="17"/>
    </w:p>
    <w:p w:rsidR="00064B7F" w:rsidRPr="00237D85" w:rsidRDefault="00064B7F" w:rsidP="00320CC4">
      <w:pPr>
        <w:pStyle w:val="CRPD-Questionstyle"/>
        <w:widowControl w:val="0"/>
        <w:spacing w:line="240" w:lineRule="auto"/>
        <w:ind w:firstLine="567"/>
        <w:rPr>
          <w:lang w:val="en-NZ"/>
        </w:rPr>
      </w:pPr>
      <w:bookmarkStart w:id="18" w:name="_Hlk512420022"/>
      <w:bookmarkEnd w:id="16"/>
      <w:r w:rsidRPr="00237D85">
        <w:rPr>
          <w:lang w:val="en-NZ"/>
        </w:rPr>
        <w:t>(b)</w:t>
      </w:r>
      <w:r w:rsidRPr="00237D85">
        <w:rPr>
          <w:lang w:val="en-NZ"/>
        </w:rPr>
        <w:tab/>
        <w:t>How specific measures for persons with disabilities are mainstreamed in poverty and homelessness reduction strategies, with particular attention to women, children, indigenous persons with disabilities, and persons with psychosocial and/or intellectual disabilities, as well as the mainstreaming of those domains in disability policy.</w:t>
      </w:r>
    </w:p>
    <w:bookmarkEnd w:id="18"/>
    <w:p w:rsidR="00802DEB" w:rsidRDefault="00802DEB" w:rsidP="00320CC4">
      <w:pPr>
        <w:pStyle w:val="CRPD-subsectionheading"/>
        <w:spacing w:line="240" w:lineRule="auto"/>
      </w:pPr>
      <w:r>
        <w:t xml:space="preserve">The new </w:t>
      </w:r>
      <w:r w:rsidRPr="00802DEB">
        <w:rPr>
          <w:i/>
        </w:rPr>
        <w:t>Child Poverty Reduction Act 2018</w:t>
      </w:r>
      <w:r w:rsidR="00F17417">
        <w:rPr>
          <w:rStyle w:val="FootnoteReference"/>
          <w:i/>
        </w:rPr>
        <w:footnoteReference w:id="232"/>
      </w:r>
      <w:r w:rsidR="00940EE2">
        <w:t xml:space="preserve"> requires successive G</w:t>
      </w:r>
      <w:r>
        <w:t>overnments to set 10-year and 3-year child poverty reduction targets, and to report annually on child poverty rates.</w:t>
      </w:r>
    </w:p>
    <w:p w:rsidR="00802DEB" w:rsidRDefault="00802DEB" w:rsidP="00320CC4">
      <w:pPr>
        <w:pStyle w:val="CRPD-subsectionheading"/>
        <w:spacing w:line="240" w:lineRule="auto"/>
      </w:pPr>
      <w:r>
        <w:t>The Act requires the Government Statistician to include analysis for identified populations, to the extent the available data</w:t>
      </w:r>
      <w:r w:rsidR="005E79A3">
        <w:t xml:space="preserve"> allows. </w:t>
      </w:r>
      <w:r>
        <w:t>The Act gives examples of groups who may be selected as identified populations, including disabled children, and children w</w:t>
      </w:r>
      <w:r w:rsidR="00940EE2">
        <w:t>ith a disabled parent, guardian</w:t>
      </w:r>
      <w:r>
        <w:t xml:space="preserve"> or caregiver.  </w:t>
      </w:r>
    </w:p>
    <w:p w:rsidR="00802DEB" w:rsidRDefault="00802DEB" w:rsidP="00320CC4">
      <w:pPr>
        <w:pStyle w:val="CRPD-subsectionheading"/>
        <w:spacing w:line="240" w:lineRule="auto"/>
      </w:pPr>
      <w:r>
        <w:t xml:space="preserve">Amendments made to </w:t>
      </w:r>
      <w:r w:rsidRPr="00F17417">
        <w:t xml:space="preserve">the </w:t>
      </w:r>
      <w:r w:rsidRPr="00F17417">
        <w:rPr>
          <w:i/>
        </w:rPr>
        <w:t>Children’s Act 2014</w:t>
      </w:r>
      <w:r w:rsidR="00F17417" w:rsidRPr="00F17417">
        <w:rPr>
          <w:rStyle w:val="FootnoteReference"/>
        </w:rPr>
        <w:footnoteReference w:id="233"/>
      </w:r>
      <w:r w:rsidRPr="00F17417">
        <w:t xml:space="preserve"> require</w:t>
      </w:r>
      <w:r>
        <w:t xml:space="preserve"> successive governments to adopt a strategy to improve the wellbeing of all children, including those with greater needs</w:t>
      </w:r>
      <w:r w:rsidR="00540365">
        <w:t xml:space="preserve">, and to reduce child poverty. </w:t>
      </w:r>
    </w:p>
    <w:p w:rsidR="006B6F9C" w:rsidRDefault="006B6F9C" w:rsidP="00320CC4">
      <w:pPr>
        <w:pStyle w:val="CRPD-subsectionheading"/>
        <w:spacing w:line="240" w:lineRule="auto"/>
      </w:pPr>
      <w:r w:rsidRPr="006B6F9C">
        <w:t xml:space="preserve">The Children’s Act provides that the strategy is intended to help NZ meet its international obligations relating to children, including under the </w:t>
      </w:r>
      <w:r w:rsidR="005E79A3">
        <w:t>UN Convention on the Rights of the Child</w:t>
      </w:r>
      <w:r w:rsidRPr="006B6F9C">
        <w:t xml:space="preserve"> and the CRPD. Annual reporting on progress toward the outcomes sought by the strategy must include analysis for identified populations, which could include disabled children, and children with a disabled parent, guardian, or caregiver.  </w:t>
      </w:r>
    </w:p>
    <w:p w:rsidR="00A9721C" w:rsidRPr="00802DEB" w:rsidRDefault="00802DEB" w:rsidP="00320CC4">
      <w:pPr>
        <w:pStyle w:val="CRPD-subsectionheading"/>
        <w:spacing w:line="240" w:lineRule="auto"/>
      </w:pPr>
      <w:r>
        <w:t>The Government is currently developing the first strategy. The draft framework contains a number of outcomes and focus areas</w:t>
      </w:r>
      <w:r w:rsidR="00940EE2">
        <w:t xml:space="preserve"> including that </w:t>
      </w:r>
      <w:r>
        <w:t>“d</w:t>
      </w:r>
      <w:r w:rsidRPr="00802DEB">
        <w:t>isabled children and young people have improved opportunities and outcomes</w:t>
      </w:r>
      <w:r>
        <w:t>”</w:t>
      </w:r>
      <w:r w:rsidRPr="00802DEB">
        <w:t>.</w:t>
      </w:r>
    </w:p>
    <w:p w:rsidR="00E4128D" w:rsidRPr="009B1601" w:rsidRDefault="009B1601" w:rsidP="00320CC4">
      <w:pPr>
        <w:pStyle w:val="CRPD-subsectionheading"/>
        <w:spacing w:line="240" w:lineRule="auto"/>
      </w:pPr>
      <w:r w:rsidRPr="009B1601">
        <w:lastRenderedPageBreak/>
        <w:t>There are no</w:t>
      </w:r>
      <w:r w:rsidR="00E4128D" w:rsidRPr="009B1601">
        <w:t xml:space="preserve"> specific measures for disabled people in homelessness reduction strategies</w:t>
      </w:r>
      <w:r w:rsidRPr="009B1601">
        <w:t>.</w:t>
      </w:r>
    </w:p>
    <w:p w:rsidR="006F7302" w:rsidRDefault="006F7302" w:rsidP="00320CC4">
      <w:pPr>
        <w:pStyle w:val="CRPD-Questionstyle"/>
        <w:widowControl w:val="0"/>
        <w:spacing w:line="240" w:lineRule="auto"/>
        <w:rPr>
          <w:lang w:val="en-NZ"/>
        </w:rPr>
      </w:pPr>
    </w:p>
    <w:p w:rsidR="002622F8" w:rsidRDefault="002622F8" w:rsidP="00320CC4">
      <w:pPr>
        <w:suppressAutoHyphens w:val="0"/>
        <w:spacing w:line="240" w:lineRule="auto"/>
        <w:rPr>
          <w:b/>
          <w:sz w:val="28"/>
          <w:szCs w:val="24"/>
          <w:lang w:eastAsia="zh-CN"/>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Participation in political and public life (art. 29)</w:t>
      </w:r>
    </w:p>
    <w:p w:rsidR="00064B7F" w:rsidRPr="00237D85" w:rsidRDefault="00064B7F" w:rsidP="00320CC4">
      <w:pPr>
        <w:pStyle w:val="CRPD-Questionstyle"/>
        <w:widowControl w:val="0"/>
        <w:spacing w:line="240" w:lineRule="auto"/>
        <w:rPr>
          <w:lang w:val="en-NZ"/>
        </w:rPr>
      </w:pPr>
      <w:r w:rsidRPr="00237D85">
        <w:rPr>
          <w:lang w:val="en-NZ"/>
        </w:rPr>
        <w:t>27.</w:t>
      </w:r>
      <w:r w:rsidRPr="00237D85">
        <w:rPr>
          <w:lang w:val="en-NZ"/>
        </w:rPr>
        <w:tab/>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r>
      <w:r w:rsidR="009D6732">
        <w:rPr>
          <w:lang w:val="en-NZ"/>
        </w:rPr>
        <w:t>M</w:t>
      </w:r>
      <w:r w:rsidRPr="00237D85">
        <w:rPr>
          <w:lang w:val="en-NZ"/>
        </w:rPr>
        <w:t>easures taken to introduce accessible electronic voting to enable persons with disabilities to cast their votes in a truly secret manner;</w:t>
      </w:r>
    </w:p>
    <w:p w:rsidR="00064B7F" w:rsidRPr="00237D85" w:rsidRDefault="004D501E" w:rsidP="00320CC4">
      <w:pPr>
        <w:pStyle w:val="CRPD-subsectionheading"/>
        <w:spacing w:line="240" w:lineRule="auto"/>
      </w:pPr>
      <w:r w:rsidRPr="004D501E">
        <w:t xml:space="preserve">Electronic voting is </w:t>
      </w:r>
      <w:r w:rsidR="00237EA6">
        <w:t>un</w:t>
      </w:r>
      <w:r w:rsidRPr="004D501E">
        <w:t xml:space="preserve">available in </w:t>
      </w:r>
      <w:r w:rsidR="002D21E1">
        <w:t>NZ</w:t>
      </w:r>
      <w:r w:rsidRPr="004D501E">
        <w:t xml:space="preserve"> for </w:t>
      </w:r>
      <w:r w:rsidR="00237EA6">
        <w:t>parliamentary</w:t>
      </w:r>
      <w:r w:rsidRPr="004D501E">
        <w:t xml:space="preserve"> </w:t>
      </w:r>
      <w:r w:rsidR="00237EA6">
        <w:t>e</w:t>
      </w:r>
      <w:r w:rsidRPr="004D501E">
        <w:t xml:space="preserve">lections. </w:t>
      </w:r>
    </w:p>
    <w:p w:rsidR="000C2923" w:rsidRPr="00942A6F" w:rsidRDefault="000C2923" w:rsidP="00320CC4">
      <w:pPr>
        <w:pStyle w:val="CRPD-subsectionheading"/>
        <w:spacing w:line="240" w:lineRule="auto"/>
      </w:pPr>
      <w:r>
        <w:t>A survey of voters and non-v</w:t>
      </w:r>
      <w:r w:rsidRPr="00237D85">
        <w:t>oters after the 2017 General Election found that</w:t>
      </w:r>
      <w:r>
        <w:t xml:space="preserve"> </w:t>
      </w:r>
      <w:r w:rsidRPr="00237D85">
        <w:t>92</w:t>
      </w:r>
      <w:r w:rsidR="00922AFF">
        <w:t>%</w:t>
      </w:r>
      <w:r w:rsidRPr="00942A6F">
        <w:t xml:space="preserve"> of disabled voters were either 'happy' or 'very happy' with the overall voting process</w:t>
      </w:r>
      <w:r w:rsidRPr="00237D85">
        <w:rPr>
          <w:rStyle w:val="FootnoteReference"/>
        </w:rPr>
        <w:footnoteReference w:id="234"/>
      </w:r>
      <w:r>
        <w:t>.</w:t>
      </w:r>
    </w:p>
    <w:p w:rsidR="00064B7F" w:rsidRPr="00237D85" w:rsidRDefault="00064B7F" w:rsidP="00320CC4">
      <w:pPr>
        <w:pStyle w:val="CRPD-subsectionheading"/>
        <w:spacing w:line="240" w:lineRule="auto"/>
      </w:pPr>
      <w:r w:rsidRPr="00237D85">
        <w:t>To increase the accessibility of voting</w:t>
      </w:r>
      <w:r w:rsidR="008A42EB" w:rsidRPr="00237D85">
        <w:t>, the Electoral Commission introduced</w:t>
      </w:r>
      <w:r w:rsidRPr="00237D85">
        <w:t>:</w:t>
      </w:r>
    </w:p>
    <w:p w:rsidR="00064B7F" w:rsidRPr="00237D85" w:rsidRDefault="00064B7F" w:rsidP="00320CC4">
      <w:pPr>
        <w:pStyle w:val="CRPDStateParty-bullets"/>
        <w:widowControl w:val="0"/>
        <w:spacing w:line="240" w:lineRule="auto"/>
      </w:pPr>
      <w:r w:rsidRPr="00237D85">
        <w:t xml:space="preserve">a phone dictation voting service </w:t>
      </w:r>
      <w:r w:rsidR="00470CDC">
        <w:t>for electors who are blind, partially blind or who have a disability that means they are unable to mark a voting paper without assistance for</w:t>
      </w:r>
      <w:r w:rsidRPr="00237D85">
        <w:t xml:space="preserve"> all general elections</w:t>
      </w:r>
      <w:r w:rsidR="00470CDC">
        <w:t xml:space="preserve">, </w:t>
      </w:r>
      <w:r w:rsidR="00470CDC" w:rsidRPr="00237D85">
        <w:t>by-elections</w:t>
      </w:r>
      <w:r w:rsidRPr="00237D85">
        <w:t xml:space="preserve"> and referenda</w:t>
      </w:r>
      <w:r w:rsidR="00470CDC">
        <w:t xml:space="preserve"> since 2014</w:t>
      </w:r>
      <w:r w:rsidR="00470CDC">
        <w:rPr>
          <w:rStyle w:val="FootnoteReference"/>
        </w:rPr>
        <w:footnoteReference w:id="235"/>
      </w:r>
      <w:r w:rsidRPr="00237D85">
        <w:t xml:space="preserve"> </w:t>
      </w:r>
    </w:p>
    <w:p w:rsidR="00D845F1" w:rsidRDefault="00064B7F" w:rsidP="00320CC4">
      <w:pPr>
        <w:pStyle w:val="CRPDStateParty-bullets"/>
        <w:widowControl w:val="0"/>
        <w:spacing w:line="240" w:lineRule="auto"/>
      </w:pPr>
      <w:r w:rsidRPr="00237D85">
        <w:t>guidance for parliamentary parties and candidates about how to make their resources accessible to disabled voters</w:t>
      </w:r>
      <w:r w:rsidRPr="00237D85">
        <w:rPr>
          <w:rStyle w:val="FootnoteReference"/>
        </w:rPr>
        <w:footnoteReference w:id="236"/>
      </w:r>
    </w:p>
    <w:p w:rsidR="00064B7F" w:rsidRPr="00237D85" w:rsidRDefault="00D845F1" w:rsidP="00320CC4">
      <w:pPr>
        <w:pStyle w:val="CRPDStateParty-bullets"/>
        <w:widowControl w:val="0"/>
        <w:spacing w:line="240" w:lineRule="auto"/>
      </w:pPr>
      <w:r>
        <w:t>guidance on how to vote for people with learning disabilities in EasyRead format.</w:t>
      </w:r>
    </w:p>
    <w:p w:rsidR="00064B7F" w:rsidRPr="00237D85" w:rsidRDefault="00064B7F" w:rsidP="00320CC4">
      <w:pPr>
        <w:pStyle w:val="CRPD-subsectionheading"/>
        <w:spacing w:line="240" w:lineRule="auto"/>
      </w:pPr>
      <w:r w:rsidRPr="00237D85">
        <w:t>The Electoral Commission plans to explore</w:t>
      </w:r>
      <w:r w:rsidR="000C2923">
        <w:t xml:space="preserve"> how technology could provide</w:t>
      </w:r>
      <w:r w:rsidRPr="00237D85">
        <w:t xml:space="preserve"> a </w:t>
      </w:r>
      <w:r w:rsidR="000C2923">
        <w:t>NZSL</w:t>
      </w:r>
      <w:r w:rsidRPr="00237D85">
        <w:t xml:space="preserve"> interpretation service for </w:t>
      </w:r>
      <w:r w:rsidR="0031397C">
        <w:t>deaf</w:t>
      </w:r>
      <w:r w:rsidR="0031397C" w:rsidRPr="00237D85">
        <w:t xml:space="preserve"> </w:t>
      </w:r>
      <w:r w:rsidRPr="00237D85">
        <w:t>voters</w:t>
      </w:r>
      <w:r w:rsidR="000C2923">
        <w:t xml:space="preserve"> in voting places</w:t>
      </w:r>
      <w:r w:rsidRPr="00237D85">
        <w:t>.</w:t>
      </w: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Measures adopted for persons with disabilities to stand for elections, be elected and effectively hold office and perform public functions at all levels.</w:t>
      </w:r>
    </w:p>
    <w:p w:rsidR="00064B7F" w:rsidRPr="00237D85" w:rsidRDefault="007C340D" w:rsidP="00320CC4">
      <w:pPr>
        <w:pStyle w:val="CRPD-subsectionheading"/>
        <w:spacing w:line="240" w:lineRule="auto"/>
      </w:pPr>
      <w:r>
        <w:t>NZ p</w:t>
      </w:r>
      <w:r w:rsidR="00064B7F" w:rsidRPr="00237D85">
        <w:t xml:space="preserve">olitical parties can fund disabled candidates to ensure they can stand for office. There is no spending limit on this kind of electoral spending. </w:t>
      </w:r>
    </w:p>
    <w:p w:rsidR="00064B7F" w:rsidRPr="00237D85" w:rsidRDefault="00064B7F" w:rsidP="00320CC4">
      <w:pPr>
        <w:pStyle w:val="CRPD-subsectionheading"/>
        <w:spacing w:line="240" w:lineRule="auto"/>
      </w:pPr>
      <w:r w:rsidRPr="00237D85">
        <w:lastRenderedPageBreak/>
        <w:t xml:space="preserve">The Parliamentary Service provides support to </w:t>
      </w:r>
      <w:r w:rsidR="00CA0B65">
        <w:t xml:space="preserve">disabled </w:t>
      </w:r>
      <w:r w:rsidRPr="00237D85">
        <w:t xml:space="preserve">Members of Parliament (MPs). </w:t>
      </w:r>
    </w:p>
    <w:p w:rsidR="002A06F1" w:rsidRPr="00237D85" w:rsidRDefault="002A06F1" w:rsidP="00320CC4">
      <w:pPr>
        <w:pStyle w:val="CRPD-subsectionheading"/>
        <w:spacing w:line="240" w:lineRule="auto"/>
      </w:pPr>
      <w:r w:rsidRPr="00940EE2">
        <w:rPr>
          <w:i/>
        </w:rPr>
        <w:t>The Election Access Fund Bill</w:t>
      </w:r>
      <w:r>
        <w:t xml:space="preserve"> is currently being considered by Parliament. If passed, it will establish a fund for disabled candidates </w:t>
      </w:r>
      <w:r w:rsidRPr="00FE37EA">
        <w:t>to cover disability-</w:t>
      </w:r>
      <w:r>
        <w:t>related costs of standing in a g</w:t>
      </w:r>
      <w:r w:rsidRPr="00FE37EA">
        <w:t xml:space="preserve">eneral </w:t>
      </w:r>
      <w:r>
        <w:t>e</w:t>
      </w:r>
      <w:r w:rsidRPr="00FE37EA">
        <w:t>lection</w:t>
      </w:r>
      <w:r>
        <w:rPr>
          <w:rStyle w:val="FootnoteReference"/>
        </w:rPr>
        <w:footnoteReference w:id="237"/>
      </w:r>
      <w:r>
        <w:t xml:space="preserve">. </w:t>
      </w:r>
    </w:p>
    <w:p w:rsidR="00064B7F" w:rsidRPr="00237D85" w:rsidRDefault="00064B7F" w:rsidP="00320CC4">
      <w:pPr>
        <w:pStyle w:val="CRPD-subsectionheading"/>
        <w:spacing w:line="240" w:lineRule="auto"/>
      </w:pPr>
      <w:r w:rsidRPr="00237D85">
        <w:t xml:space="preserve">A Parliamentary Select Committee undertook an inquiry into the accessibility of services to Parliament in 2014 and made recommendations </w:t>
      </w:r>
      <w:r w:rsidR="002A06F1">
        <w:t>to bring</w:t>
      </w:r>
      <w:r w:rsidRPr="00237D85">
        <w:t xml:space="preserve"> Parliament into line with the </w:t>
      </w:r>
      <w:r w:rsidR="003D1AC6" w:rsidRPr="00237D85">
        <w:t>CRPD</w:t>
      </w:r>
      <w:r w:rsidRPr="00237D85">
        <w:t>. The Speaker of Parliament</w:t>
      </w:r>
      <w:r w:rsidRPr="00237D85">
        <w:rPr>
          <w:rStyle w:val="FootnoteReference"/>
        </w:rPr>
        <w:footnoteReference w:id="238"/>
      </w:r>
      <w:r w:rsidRPr="00237D85">
        <w:t xml:space="preserve"> reported back about progress and plans concerning accessibility. </w:t>
      </w:r>
      <w:r w:rsidR="000B5420">
        <w:t>These</w:t>
      </w:r>
      <w:r w:rsidRPr="00237D85">
        <w:t xml:space="preserve"> included:</w:t>
      </w:r>
    </w:p>
    <w:p w:rsidR="00064B7F" w:rsidRPr="00237D85" w:rsidRDefault="00064B7F" w:rsidP="00320CC4">
      <w:pPr>
        <w:pStyle w:val="CRPDStateParty-bullets"/>
        <w:widowControl w:val="0"/>
        <w:spacing w:line="240" w:lineRule="auto"/>
      </w:pPr>
      <w:r w:rsidRPr="00237D85">
        <w:t xml:space="preserve">making the Parliamentary precinct physically accessible </w:t>
      </w:r>
    </w:p>
    <w:p w:rsidR="00064B7F" w:rsidRPr="00237D85" w:rsidRDefault="00064B7F" w:rsidP="00320CC4">
      <w:pPr>
        <w:pStyle w:val="CRPDStateParty-bullets"/>
        <w:widowControl w:val="0"/>
        <w:spacing w:line="240" w:lineRule="auto"/>
      </w:pPr>
      <w:r w:rsidRPr="00237D85">
        <w:t xml:space="preserve">enabling the use of </w:t>
      </w:r>
      <w:r w:rsidR="002D21E1">
        <w:t>NZSL</w:t>
      </w:r>
      <w:r w:rsidRPr="00237D85">
        <w:t xml:space="preserve"> by having interpreters available </w:t>
      </w:r>
    </w:p>
    <w:p w:rsidR="00064B7F" w:rsidRPr="00237D85" w:rsidRDefault="00064B7F" w:rsidP="00320CC4">
      <w:pPr>
        <w:pStyle w:val="CRPDStateParty-bullets"/>
        <w:widowControl w:val="0"/>
        <w:spacing w:line="240" w:lineRule="auto"/>
      </w:pPr>
      <w:r w:rsidRPr="00237D85">
        <w:t>providing live captioning on Parliament TV</w:t>
      </w:r>
    </w:p>
    <w:p w:rsidR="00064B7F" w:rsidRPr="00237D85" w:rsidRDefault="00064B7F" w:rsidP="00320CC4">
      <w:pPr>
        <w:pStyle w:val="CRPDStateParty-bullets"/>
        <w:widowControl w:val="0"/>
        <w:spacing w:line="240" w:lineRule="auto"/>
      </w:pPr>
      <w:r w:rsidRPr="00237D85">
        <w:t>developing an accessibility policy.</w:t>
      </w:r>
    </w:p>
    <w:p w:rsidR="00064B7F" w:rsidRPr="00237D85" w:rsidRDefault="00064B7F" w:rsidP="00320CC4">
      <w:pPr>
        <w:pStyle w:val="CRPD-subsectionheading"/>
        <w:spacing w:line="240" w:lineRule="auto"/>
      </w:pPr>
      <w:r w:rsidRPr="00237D85">
        <w:t xml:space="preserve">The Speaker stated he was confident that the Parliamentary Service and Office of the Clerk would be able to provide </w:t>
      </w:r>
      <w:r w:rsidR="00CA0B65">
        <w:t>MPs</w:t>
      </w:r>
      <w:r w:rsidRPr="00237D85">
        <w:t xml:space="preserve"> with whatever assistance they needed to carry out their role. The Speaker noted that this assistance would be available to any disabled person newly elected to Parliament and if any existing member becomes disabled in any way. </w:t>
      </w:r>
    </w:p>
    <w:p w:rsidR="00064B7F" w:rsidRDefault="00064B7F" w:rsidP="00320CC4">
      <w:pPr>
        <w:pStyle w:val="CRPD-subsectionheading"/>
        <w:spacing w:line="240" w:lineRule="auto"/>
      </w:pPr>
      <w:r w:rsidRPr="00237D85">
        <w:t>The Government will consider all funding requests for actions to address concerns of disabled people about the services of Parliament.</w:t>
      </w:r>
    </w:p>
    <w:p w:rsidR="006F7302" w:rsidRDefault="006F7302" w:rsidP="00320CC4">
      <w:pPr>
        <w:pStyle w:val="CRPD-Questionstyle"/>
        <w:widowControl w:val="0"/>
        <w:spacing w:line="240" w:lineRule="auto"/>
        <w:rPr>
          <w:lang w:val="en-NZ"/>
        </w:rPr>
      </w:pPr>
      <w:bookmarkStart w:id="19" w:name="_Hlk512419950"/>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Participation in cultural life, recreation, leisure and sport (art. 30)</w:t>
      </w:r>
    </w:p>
    <w:p w:rsidR="00064B7F" w:rsidRPr="00237D85" w:rsidRDefault="00064B7F" w:rsidP="00320CC4">
      <w:pPr>
        <w:pStyle w:val="CRPD-Questionstyle"/>
        <w:widowControl w:val="0"/>
        <w:spacing w:line="240" w:lineRule="auto"/>
        <w:rPr>
          <w:lang w:val="en-NZ"/>
        </w:rPr>
      </w:pPr>
      <w:r w:rsidRPr="00237D85">
        <w:rPr>
          <w:lang w:val="en-NZ"/>
        </w:rPr>
        <w:t>28.</w:t>
      </w:r>
      <w:r w:rsidRPr="00237D85">
        <w:rPr>
          <w:lang w:val="en-NZ"/>
        </w:rPr>
        <w:tab/>
      </w:r>
      <w:r w:rsidR="00987E1F">
        <w:rPr>
          <w:lang w:val="en-NZ"/>
        </w:rPr>
        <w:t>M</w:t>
      </w:r>
      <w:r w:rsidRPr="00237D85">
        <w:rPr>
          <w:lang w:val="en-NZ"/>
        </w:rPr>
        <w:t>easures taken to enhance accessibility in sports facilities, museums, cultural and natural heritage and any place for the cultural life of persons with disabilities.</w:t>
      </w:r>
    </w:p>
    <w:p w:rsidR="000E7310" w:rsidRDefault="000E7310" w:rsidP="00320CC4">
      <w:pPr>
        <w:pStyle w:val="CRPD-subsectionheading"/>
        <w:spacing w:line="240" w:lineRule="auto"/>
      </w:pPr>
      <w:r w:rsidRPr="009D6732">
        <w:rPr>
          <w:i/>
        </w:rPr>
        <w:lastRenderedPageBreak/>
        <w:t xml:space="preserve">The Accessibility Design Guide and Self-Assessment Checklist </w:t>
      </w:r>
      <w:r w:rsidRPr="009D6732">
        <w:t xml:space="preserve">(Sport </w:t>
      </w:r>
      <w:r w:rsidR="002D21E1" w:rsidRPr="009D6732">
        <w:t>NZ</w:t>
      </w:r>
      <w:r w:rsidRPr="009D6732">
        <w:t xml:space="preserve"> 2014)</w:t>
      </w:r>
      <w:r w:rsidR="00940EE2" w:rsidRPr="009D6732">
        <w:rPr>
          <w:rStyle w:val="FootnoteReference"/>
        </w:rPr>
        <w:footnoteReference w:id="239"/>
      </w:r>
      <w:r>
        <w:t xml:space="preserve"> </w:t>
      </w:r>
      <w:r w:rsidRPr="007D2F84">
        <w:t xml:space="preserve">provides advice on minimum accessibility requirements for sports facilities, and encourages going beyond these requirements to achieve best practice.  </w:t>
      </w:r>
    </w:p>
    <w:p w:rsidR="007225D2" w:rsidRDefault="007225D2" w:rsidP="00320CC4">
      <w:pPr>
        <w:pStyle w:val="CRPD-subsectionheading"/>
        <w:spacing w:line="240" w:lineRule="auto"/>
      </w:pPr>
      <w:r>
        <w:t>There is no government policy to enhance accessibility in museums. Some museums however provide for accessibility</w:t>
      </w:r>
      <w:r>
        <w:rPr>
          <w:rStyle w:val="FootnoteReference"/>
        </w:rPr>
        <w:footnoteReference w:id="240"/>
      </w:r>
      <w:r>
        <w:t>.</w:t>
      </w:r>
    </w:p>
    <w:p w:rsidR="007D2F84" w:rsidRDefault="000E7310" w:rsidP="00320CC4">
      <w:pPr>
        <w:pStyle w:val="CRPD-subsectionheading"/>
        <w:spacing w:line="240" w:lineRule="auto"/>
      </w:pPr>
      <w:r>
        <w:t>I</w:t>
      </w:r>
      <w:r w:rsidR="007D2F84" w:rsidRPr="007D2F84">
        <w:t>n 2015/16</w:t>
      </w:r>
      <w:r>
        <w:t xml:space="preserve">, </w:t>
      </w:r>
      <w:r w:rsidRPr="007D2F84">
        <w:t>NZ On Air</w:t>
      </w:r>
      <w:r w:rsidR="00880E4D">
        <w:t>,</w:t>
      </w:r>
      <w:r w:rsidRPr="007D2F84">
        <w:t xml:space="preserve"> </w:t>
      </w:r>
      <w:r w:rsidR="002D21E1">
        <w:t>NZ</w:t>
      </w:r>
      <w:r w:rsidRPr="007D2F84">
        <w:t>’s broadcast funding agency</w:t>
      </w:r>
      <w:r w:rsidR="00880E4D">
        <w:t>,</w:t>
      </w:r>
      <w:r>
        <w:t xml:space="preserve"> increased </w:t>
      </w:r>
      <w:r w:rsidR="007D2F84" w:rsidRPr="007D2F84">
        <w:t>funding</w:t>
      </w:r>
      <w:r>
        <w:t xml:space="preserve"> </w:t>
      </w:r>
      <w:r w:rsidR="007D2F84" w:rsidRPr="007D2F84">
        <w:t xml:space="preserve">for captioning </w:t>
      </w:r>
      <w:r w:rsidR="002A06F1">
        <w:t xml:space="preserve">per year </w:t>
      </w:r>
      <w:r w:rsidR="007D2F84" w:rsidRPr="007D2F84">
        <w:t xml:space="preserve">from $2.4 million </w:t>
      </w:r>
      <w:r w:rsidR="007D2F84">
        <w:t xml:space="preserve">to $2.8 million. </w:t>
      </w:r>
    </w:p>
    <w:p w:rsidR="007D2F84" w:rsidRDefault="007D2F84" w:rsidP="00320CC4">
      <w:pPr>
        <w:pStyle w:val="CRPD-subsectionheading"/>
        <w:spacing w:line="240" w:lineRule="auto"/>
      </w:pPr>
      <w:r w:rsidRPr="007D2F84">
        <w:t xml:space="preserve">Heritage </w:t>
      </w:r>
      <w:r w:rsidR="002D21E1" w:rsidRPr="009D6732">
        <w:t>NZ</w:t>
      </w:r>
      <w:r w:rsidRPr="009D6732">
        <w:t xml:space="preserve"> Pouhere Taonga’s</w:t>
      </w:r>
      <w:r w:rsidR="00940EE2" w:rsidRPr="009D6732">
        <w:rPr>
          <w:rStyle w:val="FootnoteReference"/>
        </w:rPr>
        <w:footnoteReference w:id="241"/>
      </w:r>
      <w:r w:rsidRPr="009D6732">
        <w:t xml:space="preserve"> 2015</w:t>
      </w:r>
      <w:r w:rsidRPr="007D2F84">
        <w:t xml:space="preserve"> policy statement on the management and use of its his</w:t>
      </w:r>
      <w:r w:rsidR="00940EE2">
        <w:t>toric places, commits to improving</w:t>
      </w:r>
      <w:r w:rsidRPr="007D2F84">
        <w:t xml:space="preserve"> accessibility to historic places, including physical access as is reasonably practicable.  </w:t>
      </w:r>
    </w:p>
    <w:p w:rsidR="007D2F84" w:rsidRDefault="007D2F84" w:rsidP="00320CC4">
      <w:pPr>
        <w:pStyle w:val="CRPD-subsectionheading"/>
        <w:spacing w:line="240" w:lineRule="auto"/>
      </w:pPr>
      <w:r w:rsidRPr="007D2F84">
        <w:t xml:space="preserve">Government funding supports </w:t>
      </w:r>
      <w:r w:rsidR="0049531A">
        <w:t>organisations who work to improve</w:t>
      </w:r>
      <w:r w:rsidRPr="007D2F84">
        <w:t xml:space="preserve"> accessibility </w:t>
      </w:r>
      <w:r w:rsidR="0049531A">
        <w:t>including</w:t>
      </w:r>
      <w:r w:rsidRPr="007D2F84">
        <w:t xml:space="preserve"> Arts Access Aotearoa, Touch Compass Dance Company, the Halberg Disability Sport Foundation, Special Olympics </w:t>
      </w:r>
      <w:r w:rsidR="002D21E1">
        <w:t>NZ</w:t>
      </w:r>
      <w:r w:rsidRPr="007D2F84">
        <w:t xml:space="preserve">, and Paralympics </w:t>
      </w:r>
      <w:r w:rsidR="002D21E1">
        <w:t>NZ</w:t>
      </w:r>
      <w:r w:rsidRPr="007D2F84">
        <w:t>.</w:t>
      </w:r>
    </w:p>
    <w:bookmarkEnd w:id="19"/>
    <w:p w:rsidR="00064B7F" w:rsidRPr="00237D85" w:rsidRDefault="00064B7F" w:rsidP="00320CC4">
      <w:pPr>
        <w:pStyle w:val="H1G"/>
        <w:keepNext w:val="0"/>
        <w:widowControl w:val="0"/>
        <w:spacing w:line="240" w:lineRule="auto"/>
        <w:jc w:val="both"/>
        <w:rPr>
          <w:lang w:val="en-NZ"/>
        </w:rPr>
      </w:pPr>
      <w:r w:rsidRPr="00237D85">
        <w:rPr>
          <w:lang w:val="en-NZ"/>
        </w:rPr>
        <w:tab/>
        <w:t>C.</w:t>
      </w:r>
      <w:r w:rsidRPr="00237D85">
        <w:rPr>
          <w:lang w:val="en-NZ"/>
        </w:rPr>
        <w:tab/>
      </w:r>
      <w:r w:rsidRPr="006F7302">
        <w:rPr>
          <w:sz w:val="28"/>
          <w:lang w:val="en-NZ"/>
        </w:rPr>
        <w:t>Specific obligations (arts. 31–33)</w:t>
      </w: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Statistics and data collection (art. 31)</w:t>
      </w:r>
    </w:p>
    <w:p w:rsidR="00064B7F" w:rsidRPr="00237D85" w:rsidRDefault="00064B7F" w:rsidP="00320CC4">
      <w:pPr>
        <w:pStyle w:val="CRPD-Questionstyle"/>
        <w:widowControl w:val="0"/>
        <w:spacing w:line="240" w:lineRule="auto"/>
        <w:rPr>
          <w:lang w:val="en-NZ"/>
        </w:rPr>
      </w:pPr>
      <w:r w:rsidRPr="00237D85">
        <w:rPr>
          <w:lang w:val="en-NZ"/>
        </w:rPr>
        <w:t>29.</w:t>
      </w:r>
      <w:r w:rsidRPr="00237D85">
        <w:rPr>
          <w:lang w:val="en-NZ"/>
        </w:rPr>
        <w:tab/>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 xml:space="preserve">The preliminary analysis of data collected in the 2018 census concerning the situation of persons with disabilities, disaggregated by its multiple dimensions, including sex, age, ethnicity, disability and urban or rural area, and a comparison of their situation with regard to the findings of and reports based on the </w:t>
      </w:r>
      <w:r w:rsidR="00FE7C5F" w:rsidRPr="00237D85">
        <w:rPr>
          <w:lang w:val="en-NZ"/>
        </w:rPr>
        <w:t>Disability Survey: 2013</w:t>
      </w:r>
      <w:r w:rsidRPr="00237D85">
        <w:rPr>
          <w:lang w:val="en-NZ"/>
        </w:rPr>
        <w:t xml:space="preserve">, including summary statistics and data displays; </w:t>
      </w:r>
    </w:p>
    <w:p w:rsidR="008F0DC1" w:rsidRDefault="008F0DC1" w:rsidP="00320CC4">
      <w:pPr>
        <w:pStyle w:val="CRPD-subsectionheading"/>
        <w:spacing w:line="240" w:lineRule="auto"/>
      </w:pPr>
      <w:r w:rsidRPr="00281274">
        <w:lastRenderedPageBreak/>
        <w:t xml:space="preserve">The planned first release of 2018 Census data has been delayed. </w:t>
      </w:r>
      <w:r w:rsidR="002C0AFA">
        <w:t xml:space="preserve">Timeframes for data release will be confirmed in </w:t>
      </w:r>
      <w:r w:rsidRPr="00281274">
        <w:t>April 2019.</w:t>
      </w:r>
    </w:p>
    <w:p w:rsidR="00064B7F" w:rsidRPr="00237D85" w:rsidRDefault="00064B7F" w:rsidP="00320CC4">
      <w:pPr>
        <w:pStyle w:val="CRPD-subsectionheading"/>
        <w:spacing w:line="240" w:lineRule="auto"/>
      </w:pPr>
      <w:r w:rsidRPr="00237D85">
        <w:t>Th</w:t>
      </w:r>
      <w:r w:rsidR="00DF5D19" w:rsidRPr="00237D85">
        <w:t>e results of the 2018 C</w:t>
      </w:r>
      <w:r w:rsidRPr="00237D85">
        <w:t xml:space="preserve">ensus will not be comparable with previous information collected on disability in previous censuses or the </w:t>
      </w:r>
      <w:r w:rsidR="00FE7C5F" w:rsidRPr="00237D85">
        <w:rPr>
          <w:i/>
        </w:rPr>
        <w:t>Disability Survey: 2013</w:t>
      </w:r>
      <w:r w:rsidRPr="00237D85">
        <w:t xml:space="preserve"> which did not use the Washington Group Short Set </w:t>
      </w:r>
      <w:r w:rsidR="002A06F1">
        <w:t xml:space="preserve">of </w:t>
      </w:r>
      <w:r w:rsidRPr="00237D85">
        <w:t>questions</w:t>
      </w:r>
      <w:r w:rsidR="002A06F1">
        <w:t xml:space="preserve"> on disability</w:t>
      </w:r>
      <w:r w:rsidRPr="00237D85">
        <w:t xml:space="preserve">. Analysis will be able to be done in comparison with other Stats NZ surveys </w:t>
      </w:r>
      <w:r w:rsidR="002A06F1">
        <w:t>(</w:t>
      </w:r>
      <w:r w:rsidR="002A06F1" w:rsidRPr="00237D85">
        <w:t xml:space="preserve">including the </w:t>
      </w:r>
      <w:r w:rsidR="002A06F1" w:rsidRPr="00237D85">
        <w:rPr>
          <w:i/>
        </w:rPr>
        <w:t>Household Labour Force Survey</w:t>
      </w:r>
      <w:r w:rsidR="002A06F1" w:rsidRPr="00237D85">
        <w:t xml:space="preserve"> and the </w:t>
      </w:r>
      <w:r w:rsidR="002A06F1">
        <w:rPr>
          <w:i/>
        </w:rPr>
        <w:t>NZ</w:t>
      </w:r>
      <w:r w:rsidR="002A06F1" w:rsidRPr="00237D85">
        <w:rPr>
          <w:i/>
        </w:rPr>
        <w:t xml:space="preserve"> General Social Survey</w:t>
      </w:r>
      <w:r w:rsidR="002A06F1">
        <w:rPr>
          <w:i/>
        </w:rPr>
        <w:t>)</w:t>
      </w:r>
      <w:r w:rsidR="002A06F1" w:rsidRPr="00237D85">
        <w:t xml:space="preserve"> </w:t>
      </w:r>
      <w:r w:rsidRPr="00237D85">
        <w:t xml:space="preserve">which include the Washington Group Short Set </w:t>
      </w:r>
      <w:r w:rsidR="005E79A3">
        <w:t xml:space="preserve">of </w:t>
      </w:r>
      <w:r w:rsidRPr="00237D85">
        <w:t xml:space="preserve">questions </w:t>
      </w:r>
      <w:r w:rsidR="00940EE2">
        <w:t>on disability</w:t>
      </w:r>
      <w:r w:rsidRPr="00237D85">
        <w:t>.</w:t>
      </w:r>
    </w:p>
    <w:p w:rsidR="00064B7F" w:rsidRPr="00237D85" w:rsidRDefault="00064B7F" w:rsidP="00320CC4">
      <w:pPr>
        <w:pStyle w:val="CRPD-Questionstyle"/>
        <w:widowControl w:val="0"/>
        <w:spacing w:line="240" w:lineRule="auto"/>
        <w:ind w:firstLine="567"/>
        <w:rPr>
          <w:lang w:val="en-NZ"/>
        </w:rPr>
      </w:pPr>
      <w:r w:rsidRPr="00237D85">
        <w:rPr>
          <w:lang w:val="en-NZ"/>
        </w:rPr>
        <w:t>(b)</w:t>
      </w:r>
      <w:r w:rsidRPr="00237D85">
        <w:rPr>
          <w:lang w:val="en-NZ"/>
        </w:rPr>
        <w:tab/>
        <w:t>The process towards the inclusion of disability-related questions in the context of the 2018 census, and the information on accessible formats provided to persons with disabilities in connection with the 2018 census;</w:t>
      </w:r>
    </w:p>
    <w:p w:rsidR="008A0130" w:rsidRDefault="008A0130" w:rsidP="00320CC4">
      <w:pPr>
        <w:pStyle w:val="CRPD-subsectionheading"/>
        <w:spacing w:line="240" w:lineRule="auto"/>
      </w:pPr>
      <w:r>
        <w:t xml:space="preserve">The Washington Group Short Set </w:t>
      </w:r>
      <w:r w:rsidR="005E79A3">
        <w:t xml:space="preserve">of </w:t>
      </w:r>
      <w:r>
        <w:t>questions on disability were tested at all stages of the 2018 Census testing programme, and approved for inclusion as part of the formal content sign-off by the Government Statistician.</w:t>
      </w:r>
    </w:p>
    <w:p w:rsidR="008A0130" w:rsidRDefault="008A0130" w:rsidP="00320CC4">
      <w:pPr>
        <w:pStyle w:val="CRPD-subsectionheading"/>
        <w:spacing w:line="240" w:lineRule="auto"/>
      </w:pPr>
      <w:bookmarkStart w:id="20" w:name="_Hlk535415369"/>
      <w:r>
        <w:t>The 2018 Census was digital by default</w:t>
      </w:r>
      <w:r w:rsidR="009D6CEE">
        <w:t>. T</w:t>
      </w:r>
      <w:r>
        <w:t>here were participation challenges for some New Zealanders, including disabled people. Stats NZ are working with the DPO</w:t>
      </w:r>
      <w:r w:rsidR="009D6CEE">
        <w:t xml:space="preserve"> Coalition to avoid issues</w:t>
      </w:r>
      <w:r>
        <w:t xml:space="preserve"> for the next census.</w:t>
      </w:r>
      <w:bookmarkEnd w:id="20"/>
    </w:p>
    <w:p w:rsidR="008A0130" w:rsidRDefault="008A0130" w:rsidP="00320CC4">
      <w:pPr>
        <w:pStyle w:val="CRPD-subsectionheading"/>
        <w:spacing w:line="240" w:lineRule="auto"/>
      </w:pPr>
      <w:r>
        <w:t>Stats NZ provided information about accessible formats of the 2018 Census to disabled people by:</w:t>
      </w:r>
    </w:p>
    <w:p w:rsidR="00940EE2" w:rsidRDefault="00940EE2" w:rsidP="00320CC4">
      <w:pPr>
        <w:pStyle w:val="CRPDStateParty-bullets"/>
        <w:widowControl w:val="0"/>
        <w:numPr>
          <w:ilvl w:val="0"/>
          <w:numId w:val="15"/>
        </w:numPr>
        <w:spacing w:line="240" w:lineRule="auto"/>
      </w:pPr>
      <w:r>
        <w:t>working with key stakeholders to develop materials and approaches for accessibility</w:t>
      </w:r>
      <w:r>
        <w:rPr>
          <w:rStyle w:val="FootnoteReference"/>
        </w:rPr>
        <w:footnoteReference w:id="242"/>
      </w:r>
      <w:r>
        <w:t xml:space="preserve"> </w:t>
      </w:r>
    </w:p>
    <w:p w:rsidR="008A0130" w:rsidRDefault="008A0130" w:rsidP="00320CC4">
      <w:pPr>
        <w:pStyle w:val="CRPDStateParty-bullets"/>
        <w:widowControl w:val="0"/>
        <w:numPr>
          <w:ilvl w:val="0"/>
          <w:numId w:val="15"/>
        </w:numPr>
        <w:spacing w:line="240" w:lineRule="auto"/>
      </w:pPr>
      <w:r>
        <w:t>working with the Access Alliance</w:t>
      </w:r>
      <w:r>
        <w:rPr>
          <w:rStyle w:val="FootnoteReference"/>
        </w:rPr>
        <w:footnoteReference w:id="243"/>
      </w:r>
      <w:r>
        <w:t xml:space="preserve"> and their specialist in web accessibility to review the accessibility of the online collection system and website for the 2018 Census during development</w:t>
      </w:r>
    </w:p>
    <w:p w:rsidR="00064B7F" w:rsidRPr="00D07F88" w:rsidRDefault="008A0130" w:rsidP="00320CC4">
      <w:pPr>
        <w:pStyle w:val="CRPDStateParty-bullets"/>
        <w:widowControl w:val="0"/>
        <w:numPr>
          <w:ilvl w:val="0"/>
          <w:numId w:val="15"/>
        </w:numPr>
        <w:spacing w:line="240" w:lineRule="auto"/>
      </w:pPr>
      <w:r>
        <w:t xml:space="preserve">providing resources to help organisations and </w:t>
      </w:r>
      <w:r w:rsidR="00940EE2">
        <w:t>individuals</w:t>
      </w:r>
      <w:r>
        <w:t xml:space="preserve"> to support others</w:t>
      </w:r>
      <w:r>
        <w:rPr>
          <w:rStyle w:val="FootnoteReference"/>
        </w:rPr>
        <w:footnoteReference w:id="244"/>
      </w:r>
      <w:r>
        <w:t xml:space="preserve"> and </w:t>
      </w:r>
      <w:r w:rsidR="00940EE2">
        <w:t>creating</w:t>
      </w:r>
      <w:r>
        <w:t xml:space="preserve"> a checklist of consider</w:t>
      </w:r>
      <w:r w:rsidR="00940EE2">
        <w:t>ations</w:t>
      </w:r>
      <w:r>
        <w:t xml:space="preserve"> for those running an event </w:t>
      </w:r>
      <w:r w:rsidR="00940EE2">
        <w:t>to help</w:t>
      </w:r>
      <w:r>
        <w:t xml:space="preserve"> people to complete their census</w:t>
      </w:r>
      <w:r w:rsidR="00064B7F" w:rsidRPr="00237D85">
        <w:t>.</w:t>
      </w:r>
    </w:p>
    <w:p w:rsidR="00064B7F" w:rsidRPr="00237D85" w:rsidRDefault="00064B7F" w:rsidP="00320CC4">
      <w:pPr>
        <w:pStyle w:val="CRPD-Questionstyle"/>
        <w:widowControl w:val="0"/>
        <w:spacing w:line="240" w:lineRule="auto"/>
        <w:rPr>
          <w:lang w:val="en-NZ"/>
        </w:rPr>
      </w:pPr>
      <w:r w:rsidRPr="00237D85">
        <w:rPr>
          <w:lang w:val="en-NZ"/>
        </w:rPr>
        <w:lastRenderedPageBreak/>
        <w:tab/>
        <w:t>(c)</w:t>
      </w:r>
      <w:r w:rsidRPr="00237D85">
        <w:rPr>
          <w:lang w:val="en-NZ"/>
        </w:rPr>
        <w:tab/>
        <w:t>Progress towards data disaggregation for people with disabilities in the annual reports published by government departments, crown entities and local authorities;</w:t>
      </w:r>
    </w:p>
    <w:p w:rsidR="00064B7F" w:rsidRPr="00237D85" w:rsidRDefault="00064B7F" w:rsidP="00320CC4">
      <w:pPr>
        <w:pStyle w:val="CRPD-subsectionheading"/>
        <w:spacing w:line="240" w:lineRule="auto"/>
      </w:pPr>
      <w:r w:rsidRPr="00237D85">
        <w:t xml:space="preserve">There has been significant work undertaken to </w:t>
      </w:r>
      <w:r w:rsidR="007C238E">
        <w:t>improve</w:t>
      </w:r>
      <w:r w:rsidRPr="00237D85">
        <w:t xml:space="preserve"> the availability of disability data</w:t>
      </w:r>
      <w:r w:rsidR="0059111B" w:rsidRPr="00237D85">
        <w:t xml:space="preserve"> </w:t>
      </w:r>
      <w:r w:rsidRPr="00237D85">
        <w:t xml:space="preserve">to </w:t>
      </w:r>
      <w:r w:rsidR="007C238E">
        <w:t>inform</w:t>
      </w:r>
      <w:r w:rsidRPr="00237D85">
        <w:t xml:space="preserve"> </w:t>
      </w:r>
      <w:r w:rsidR="00AF388B" w:rsidRPr="00237D85">
        <w:t>disability policy and practice.</w:t>
      </w:r>
      <w:r w:rsidRPr="00237D85">
        <w:t xml:space="preserve"> This work has not yet progressed to the stage where the data is published in the annual reports of government departments, crown entities and local authorities.</w:t>
      </w:r>
      <w:r w:rsidR="001248AE">
        <w:t xml:space="preserve"> </w:t>
      </w:r>
    </w:p>
    <w:p w:rsidR="00064B7F" w:rsidRPr="00237D85" w:rsidRDefault="00064B7F" w:rsidP="00320CC4">
      <w:pPr>
        <w:pStyle w:val="CRPD-Questionstyle"/>
        <w:widowControl w:val="0"/>
        <w:spacing w:line="240" w:lineRule="auto"/>
        <w:rPr>
          <w:lang w:val="en-NZ"/>
        </w:rPr>
      </w:pPr>
      <w:r w:rsidRPr="00237D85">
        <w:rPr>
          <w:lang w:val="en-NZ"/>
        </w:rPr>
        <w:tab/>
        <w:t>(d)</w:t>
      </w:r>
      <w:r w:rsidRPr="00237D85">
        <w:rPr>
          <w:lang w:val="en-NZ"/>
        </w:rPr>
        <w:tab/>
        <w:t>Measures taken to collect data and information about indigenous peoples with disabilities, as well as disaggregation, analysis and dissemination of the data;</w:t>
      </w:r>
    </w:p>
    <w:p w:rsidR="0058268A" w:rsidRDefault="000B2731" w:rsidP="00320CC4">
      <w:pPr>
        <w:pStyle w:val="CRPD-subsectionheading"/>
        <w:spacing w:line="240" w:lineRule="auto"/>
      </w:pPr>
      <w:r>
        <w:t xml:space="preserve">The </w:t>
      </w:r>
      <w:r w:rsidR="00C37F88">
        <w:t xml:space="preserve">2018 Census will allow </w:t>
      </w:r>
      <w:r w:rsidR="0058268A">
        <w:t>data to be disaggregated by ethnicity and disability, and provide opportunities to gain a better understanding of differences between disabled and non-disabled Māori.</w:t>
      </w:r>
    </w:p>
    <w:p w:rsidR="0058268A" w:rsidRDefault="0058268A" w:rsidP="00320CC4">
      <w:pPr>
        <w:pStyle w:val="CRPD-subsectionheading"/>
        <w:spacing w:line="240" w:lineRule="auto"/>
      </w:pPr>
      <w:r>
        <w:t xml:space="preserve">In 2018, Stats NZ carried out </w:t>
      </w:r>
      <w:r w:rsidRPr="00524697">
        <w:t>Te Kupenga</w:t>
      </w:r>
      <w:r w:rsidR="00940EE2" w:rsidRPr="00524697">
        <w:rPr>
          <w:rStyle w:val="FootnoteReference"/>
        </w:rPr>
        <w:footnoteReference w:id="245"/>
      </w:r>
      <w:r w:rsidRPr="00524697">
        <w:t>, the</w:t>
      </w:r>
      <w:r>
        <w:t xml:space="preserve"> second survey of Māori wellbeing. Te Kupenga give</w:t>
      </w:r>
      <w:r w:rsidR="00940EE2">
        <w:t>s</w:t>
      </w:r>
      <w:r>
        <w:t xml:space="preserve"> a picture of the soci</w:t>
      </w:r>
      <w:r w:rsidR="00940EE2">
        <w:t>al, cultural, and economic well</w:t>
      </w:r>
      <w:r>
        <w:t xml:space="preserve">being of Māori </w:t>
      </w:r>
      <w:r w:rsidR="00880E4D">
        <w:t>people</w:t>
      </w:r>
      <w:r>
        <w:t xml:space="preserve">. Results are used to monitor existing policies and programmes for Māori and to develop new initiatives. </w:t>
      </w:r>
    </w:p>
    <w:p w:rsidR="0058268A" w:rsidRDefault="0058268A" w:rsidP="00320CC4">
      <w:pPr>
        <w:pStyle w:val="CRPD-subsectionheading"/>
        <w:spacing w:line="240" w:lineRule="auto"/>
      </w:pPr>
      <w:r>
        <w:t>It will be possible to link data from Te Kupenga and the 2018 Census, and to disaggregate Te Kupenga statistics by disability status.</w:t>
      </w:r>
    </w:p>
    <w:p w:rsidR="000B2731" w:rsidRPr="000B2731" w:rsidRDefault="000B2731" w:rsidP="00320CC4">
      <w:pPr>
        <w:pStyle w:val="CRPD-subsectionheading"/>
        <w:spacing w:line="240" w:lineRule="auto"/>
      </w:pPr>
      <w:bookmarkStart w:id="21" w:name="_Hlk512419071"/>
      <w:r w:rsidRPr="000B2731">
        <w:t xml:space="preserve">The Ministry of Health collects routine disability data on its Māori disabled </w:t>
      </w:r>
      <w:r w:rsidRPr="00524697">
        <w:t xml:space="preserve">client group. This data supports strategic and business planning for </w:t>
      </w:r>
      <w:r w:rsidRPr="00524697">
        <w:rPr>
          <w:i/>
        </w:rPr>
        <w:t>Whāia Te Ao Mārama 2018-2022: The Māori Disability Action Plan</w:t>
      </w:r>
      <w:r w:rsidR="00940EE2" w:rsidRPr="00524697">
        <w:rPr>
          <w:rStyle w:val="FootnoteReference"/>
          <w:i/>
        </w:rPr>
        <w:footnoteReference w:id="246"/>
      </w:r>
      <w:r w:rsidRPr="00524697">
        <w:t>.</w:t>
      </w:r>
    </w:p>
    <w:p w:rsidR="000B2731" w:rsidRPr="000B2731" w:rsidRDefault="000B2731" w:rsidP="00320CC4">
      <w:pPr>
        <w:pStyle w:val="CRPD-subsectionheading"/>
        <w:spacing w:line="240" w:lineRule="auto"/>
      </w:pPr>
      <w:r w:rsidRPr="000B2731">
        <w:t xml:space="preserve">Māori disability data is disaggregated in the </w:t>
      </w:r>
      <w:r w:rsidRPr="00524697">
        <w:rPr>
          <w:i/>
        </w:rPr>
        <w:t>Demographic Report on Clients Allocated the Ministry of Health’s Disability Support Services</w:t>
      </w:r>
      <w:r w:rsidR="00524697" w:rsidRPr="007129B6">
        <w:rPr>
          <w:rStyle w:val="FootnoteReference"/>
        </w:rPr>
        <w:footnoteReference w:id="247"/>
      </w:r>
      <w:r w:rsidRPr="007129B6">
        <w:t xml:space="preserve"> </w:t>
      </w:r>
      <w:r w:rsidRPr="00524697">
        <w:t>as</w:t>
      </w:r>
      <w:r w:rsidRPr="000B2731">
        <w:t xml:space="preserve"> at September 2016. In 2016, 5,920 clients (17.5</w:t>
      </w:r>
      <w:r w:rsidR="00922AFF">
        <w:t>%</w:t>
      </w:r>
      <w:r w:rsidRPr="000B2731">
        <w:t xml:space="preserve"> of the Ministry’s client group) were recorded with Māori ethnicity. </w:t>
      </w:r>
    </w:p>
    <w:p w:rsidR="00064B7F" w:rsidRPr="00237D85" w:rsidRDefault="00064B7F" w:rsidP="00320CC4">
      <w:pPr>
        <w:pStyle w:val="CRPD-Questionstyle"/>
        <w:widowControl w:val="0"/>
        <w:spacing w:line="240" w:lineRule="auto"/>
        <w:rPr>
          <w:lang w:val="en-NZ"/>
        </w:rPr>
      </w:pPr>
      <w:r w:rsidRPr="00237D85">
        <w:rPr>
          <w:lang w:val="en-NZ"/>
        </w:rPr>
        <w:tab/>
        <w:t>(e)</w:t>
      </w:r>
      <w:r w:rsidRPr="00237D85">
        <w:rPr>
          <w:lang w:val="en-NZ"/>
        </w:rPr>
        <w:tab/>
        <w:t xml:space="preserve">Mechanisms for the involvement of </w:t>
      </w:r>
      <w:r w:rsidRPr="00237D85">
        <w:rPr>
          <w:lang w:val="en-NZ"/>
        </w:rPr>
        <w:lastRenderedPageBreak/>
        <w:t>organizations of persons with disabilities in the design of measurement tools, particularly in the register of institutionalized persons and the register of persons in psychiatric hospitals.</w:t>
      </w:r>
    </w:p>
    <w:p w:rsidR="000B2731" w:rsidRPr="000B2731" w:rsidRDefault="000B2731" w:rsidP="00320CC4">
      <w:pPr>
        <w:pStyle w:val="CRPD-subsectionheading"/>
        <w:spacing w:line="240" w:lineRule="auto"/>
      </w:pPr>
      <w:r>
        <w:t>The disability support system transformation</w:t>
      </w:r>
      <w:r w:rsidRPr="000B2731">
        <w:t xml:space="preserve"> </w:t>
      </w:r>
      <w:r w:rsidR="00940EE2">
        <w:t xml:space="preserve">prototype (see introduction) </w:t>
      </w:r>
      <w:r w:rsidRPr="000B2731">
        <w:t xml:space="preserve">has implemented </w:t>
      </w:r>
      <w:r w:rsidR="00940EE2">
        <w:t>results-</w:t>
      </w:r>
      <w:r w:rsidR="00940EE2" w:rsidRPr="000B2731">
        <w:t xml:space="preserve">based accountability </w:t>
      </w:r>
      <w:r w:rsidRPr="000B2731">
        <w:t>measure</w:t>
      </w:r>
      <w:r>
        <w:t xml:space="preserve">s into its provider contracts. </w:t>
      </w:r>
      <w:r w:rsidRPr="000B2731">
        <w:t>These measures were developed through a series of workshops including disabled people, family, whānau and providers.</w:t>
      </w:r>
    </w:p>
    <w:p w:rsidR="000A40C5" w:rsidRDefault="000A40C5" w:rsidP="00320CC4">
      <w:pPr>
        <w:pStyle w:val="CRPD-subsectionheading"/>
        <w:spacing w:line="240" w:lineRule="auto"/>
      </w:pPr>
      <w:r w:rsidRPr="000A40C5">
        <w:t xml:space="preserve">The DPO Coalition </w:t>
      </w:r>
      <w:r w:rsidR="00940EE2">
        <w:t>and</w:t>
      </w:r>
      <w:r w:rsidRPr="000A40C5">
        <w:t xml:space="preserve"> the</w:t>
      </w:r>
      <w:r w:rsidRPr="000A40C5">
        <w:rPr>
          <w:i/>
        </w:rPr>
        <w:t xml:space="preserve"> Disability Strategy Revision Reference Group </w:t>
      </w:r>
      <w:r w:rsidRPr="000A40C5">
        <w:t xml:space="preserve">were involved in the co-design process to develop the 28 indicators for the </w:t>
      </w:r>
      <w:r w:rsidR="000B2731" w:rsidRPr="00940EE2">
        <w:rPr>
          <w:i/>
        </w:rPr>
        <w:t xml:space="preserve">Disability </w:t>
      </w:r>
      <w:r w:rsidRPr="00940EE2">
        <w:rPr>
          <w:i/>
        </w:rPr>
        <w:t>Strategy</w:t>
      </w:r>
      <w:r w:rsidR="000B2731" w:rsidRPr="00940EE2">
        <w:rPr>
          <w:i/>
        </w:rPr>
        <w:t>:</w:t>
      </w:r>
      <w:r w:rsidRPr="00940EE2">
        <w:rPr>
          <w:i/>
        </w:rPr>
        <w:t xml:space="preserve"> Outcomes Framework</w:t>
      </w:r>
      <w:r w:rsidRPr="000A40C5">
        <w:t>.</w:t>
      </w:r>
    </w:p>
    <w:p w:rsidR="000B2731" w:rsidRDefault="0086628E" w:rsidP="00320CC4">
      <w:pPr>
        <w:pStyle w:val="CRPD-subsectionheading"/>
        <w:spacing w:line="240" w:lineRule="auto"/>
      </w:pPr>
      <w:r>
        <w:t xml:space="preserve">In </w:t>
      </w:r>
      <w:r w:rsidR="002D21E1">
        <w:t>NZ</w:t>
      </w:r>
      <w:r w:rsidR="000B2731">
        <w:t>, state-</w:t>
      </w:r>
      <w:r>
        <w:t xml:space="preserve">funded mental health institutions or psychiatric hospitals have been closed. Most mental health care and disability support is </w:t>
      </w:r>
      <w:r w:rsidR="000A40C5">
        <w:t xml:space="preserve">provided in the community. </w:t>
      </w:r>
    </w:p>
    <w:bookmarkEnd w:id="21"/>
    <w:p w:rsidR="000B2731" w:rsidRPr="000B2731" w:rsidRDefault="000B2731" w:rsidP="00320CC4">
      <w:pPr>
        <w:pStyle w:val="CRPD-subsectionheading"/>
        <w:spacing w:line="240" w:lineRule="auto"/>
      </w:pPr>
      <w:r w:rsidRPr="000B2731">
        <w:t xml:space="preserve">The Government does not keep a register of institutionalised persons or a register of persons in psychiatric hospitals. The Ministry of Health’s national mental health database contains information that allows the Government to monitor and report on the number of people who are subject to compulsory inpatient (hospital) treatment. </w:t>
      </w:r>
    </w:p>
    <w:p w:rsidR="005C6961" w:rsidRDefault="005C6961" w:rsidP="00320CC4">
      <w:pPr>
        <w:pStyle w:val="CRPD-Questionstyle"/>
        <w:widowControl w:val="0"/>
        <w:spacing w:line="240" w:lineRule="auto"/>
        <w:rPr>
          <w:rFonts w:ascii="Times New Roman" w:hAnsi="Times New Roman"/>
          <w:sz w:val="28"/>
          <w:szCs w:val="24"/>
        </w:rPr>
      </w:pPr>
      <w:bookmarkStart w:id="22" w:name="_Hlk512418986"/>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International cooperation (art. 32)</w:t>
      </w:r>
    </w:p>
    <w:p w:rsidR="00064B7F" w:rsidRPr="00237D85" w:rsidRDefault="00064B7F" w:rsidP="00320CC4">
      <w:pPr>
        <w:pStyle w:val="CRPD-Questionstyle"/>
        <w:widowControl w:val="0"/>
        <w:spacing w:line="240" w:lineRule="auto"/>
        <w:rPr>
          <w:lang w:val="en-NZ"/>
        </w:rPr>
      </w:pPr>
      <w:r w:rsidRPr="00237D85">
        <w:rPr>
          <w:lang w:val="en-NZ"/>
        </w:rPr>
        <w:t>30.</w:t>
      </w:r>
      <w:r w:rsidRPr="00237D85">
        <w:rPr>
          <w:lang w:val="en-NZ"/>
        </w:rPr>
        <w:tab/>
      </w:r>
      <w:r w:rsidR="002625D2">
        <w:rPr>
          <w:lang w:val="en-NZ"/>
        </w:rPr>
        <w:t>The</w:t>
      </w:r>
      <w:r w:rsidRPr="00237D85">
        <w:rPr>
          <w:lang w:val="en-NZ"/>
        </w:rPr>
        <w:t xml:space="preserve"> efforts surrounding</w:t>
      </w:r>
      <w:r w:rsidR="002625D2">
        <w:rPr>
          <w:lang w:val="en-NZ"/>
        </w:rPr>
        <w:t>,</w:t>
      </w:r>
      <w:r w:rsidRPr="00237D85">
        <w:rPr>
          <w:lang w:val="en-NZ"/>
        </w:rPr>
        <w:t xml:space="preserve"> and the impact on</w:t>
      </w:r>
      <w:r w:rsidR="002625D2">
        <w:rPr>
          <w:lang w:val="en-NZ"/>
        </w:rPr>
        <w:t>,</w:t>
      </w:r>
      <w:r w:rsidRPr="00237D85">
        <w:rPr>
          <w:lang w:val="en-NZ"/>
        </w:rPr>
        <w:t xml:space="preserve"> the disability-inclusive development policies and foreign aid programme, taken into consideration for the effective and comprehensive implementation of the Convention and Sustainable Development Goals.</w:t>
      </w:r>
    </w:p>
    <w:p w:rsidR="005A0702" w:rsidRPr="005A0702" w:rsidRDefault="005A0702" w:rsidP="00320CC4">
      <w:pPr>
        <w:pStyle w:val="CRPD-subsectionheading"/>
        <w:spacing w:line="240" w:lineRule="auto"/>
      </w:pPr>
      <w:r w:rsidRPr="005A0702">
        <w:t xml:space="preserve">The </w:t>
      </w:r>
      <w:r w:rsidR="002D21E1">
        <w:t>NZ</w:t>
      </w:r>
      <w:r w:rsidRPr="005A0702">
        <w:t xml:space="preserve"> Aid Programme funds activities to promote the rights of </w:t>
      </w:r>
      <w:r>
        <w:t>disabled people</w:t>
      </w:r>
      <w:r w:rsidRPr="005A0702">
        <w:t xml:space="preserve"> and empower </w:t>
      </w:r>
      <w:r>
        <w:t>groups and individuals</w:t>
      </w:r>
      <w:r w:rsidR="002A06F1">
        <w:t>, including</w:t>
      </w:r>
      <w:r w:rsidRPr="005A0702">
        <w:t>:</w:t>
      </w:r>
    </w:p>
    <w:p w:rsidR="005A0702" w:rsidRPr="005A0702" w:rsidRDefault="00820EE3" w:rsidP="00320CC4">
      <w:pPr>
        <w:pStyle w:val="CRPDStateParty-bullets"/>
        <w:widowControl w:val="0"/>
        <w:spacing w:line="240" w:lineRule="auto"/>
      </w:pPr>
      <w:r>
        <w:t>p</w:t>
      </w:r>
      <w:r w:rsidR="005A0702" w:rsidRPr="005A0702">
        <w:t xml:space="preserve">romoting </w:t>
      </w:r>
      <w:r w:rsidR="002A06F1">
        <w:t xml:space="preserve">disabled people’s </w:t>
      </w:r>
      <w:r w:rsidR="005A0702" w:rsidRPr="005A0702">
        <w:t>economic empowerment through reducing barriers to engagement in productive agriculture in India</w:t>
      </w:r>
    </w:p>
    <w:p w:rsidR="005A0702" w:rsidRPr="005A0702" w:rsidRDefault="002A06F1" w:rsidP="00320CC4">
      <w:pPr>
        <w:pStyle w:val="CRPDStateParty-bullets"/>
        <w:widowControl w:val="0"/>
        <w:spacing w:line="240" w:lineRule="auto"/>
      </w:pPr>
      <w:r>
        <w:t>promoting i</w:t>
      </w:r>
      <w:r w:rsidR="005A0702" w:rsidRPr="005A0702">
        <w:t xml:space="preserve">nclusive education for </w:t>
      </w:r>
      <w:r w:rsidR="005A0702">
        <w:t xml:space="preserve">disabled </w:t>
      </w:r>
      <w:r w:rsidR="005A0702" w:rsidRPr="005A0702">
        <w:t xml:space="preserve">children in Papua New Guinea </w:t>
      </w:r>
    </w:p>
    <w:p w:rsidR="005A0702" w:rsidRPr="005A0702" w:rsidRDefault="00820EE3" w:rsidP="00320CC4">
      <w:pPr>
        <w:pStyle w:val="CRPDStateParty-bullets"/>
        <w:widowControl w:val="0"/>
        <w:spacing w:line="240" w:lineRule="auto"/>
      </w:pPr>
      <w:r>
        <w:t>develop</w:t>
      </w:r>
      <w:r w:rsidR="002A06F1">
        <w:t>ing</w:t>
      </w:r>
      <w:r>
        <w:t xml:space="preserve"> a capacity-</w:t>
      </w:r>
      <w:r w:rsidR="005A0702" w:rsidRPr="005A0702">
        <w:t xml:space="preserve">building resource for </w:t>
      </w:r>
      <w:r w:rsidR="002D21E1">
        <w:t>NZ</w:t>
      </w:r>
      <w:r w:rsidR="005A0702" w:rsidRPr="005A0702">
        <w:t>’s humanitarian partners to design and deliver disability-</w:t>
      </w:r>
      <w:r w:rsidR="005A0702" w:rsidRPr="005A0702">
        <w:lastRenderedPageBreak/>
        <w:t>inclusive humanitarian responses</w:t>
      </w:r>
    </w:p>
    <w:p w:rsidR="005A0702" w:rsidRPr="005A0702" w:rsidRDefault="00820EE3" w:rsidP="00320CC4">
      <w:pPr>
        <w:pStyle w:val="CRPDStateParty-bullets"/>
        <w:widowControl w:val="0"/>
        <w:spacing w:line="240" w:lineRule="auto"/>
      </w:pPr>
      <w:r>
        <w:t>c</w:t>
      </w:r>
      <w:r w:rsidR="005A0702" w:rsidRPr="005A0702">
        <w:t>onside</w:t>
      </w:r>
      <w:r w:rsidR="002A06F1">
        <w:t>ring</w:t>
      </w:r>
      <w:r w:rsidR="005A0702" w:rsidRPr="005A0702">
        <w:t xml:space="preserve"> priorities and access of </w:t>
      </w:r>
      <w:r w:rsidR="005A0702">
        <w:t>disabled people</w:t>
      </w:r>
      <w:r w:rsidR="005A0702" w:rsidRPr="005A0702">
        <w:t xml:space="preserve"> in the design and development of </w:t>
      </w:r>
      <w:r>
        <w:t>NZ Government</w:t>
      </w:r>
      <w:r w:rsidR="002A06F1">
        <w:t>-</w:t>
      </w:r>
      <w:r w:rsidR="005A0702" w:rsidRPr="005A0702">
        <w:t xml:space="preserve">supported infrastructure projects.  </w:t>
      </w:r>
    </w:p>
    <w:bookmarkEnd w:id="22"/>
    <w:p w:rsidR="00027302" w:rsidRDefault="00027302" w:rsidP="00320CC4">
      <w:pPr>
        <w:suppressAutoHyphens w:val="0"/>
        <w:spacing w:line="240" w:lineRule="auto"/>
        <w:rPr>
          <w:b/>
          <w:sz w:val="24"/>
          <w:szCs w:val="24"/>
          <w:lang w:eastAsia="zh-CN"/>
        </w:rPr>
      </w:pPr>
    </w:p>
    <w:p w:rsidR="00064B7F" w:rsidRPr="00EE3301" w:rsidRDefault="00064B7F" w:rsidP="00320CC4">
      <w:pPr>
        <w:pStyle w:val="CRPD-Questionstyle"/>
        <w:widowControl w:val="0"/>
        <w:spacing w:line="240" w:lineRule="auto"/>
        <w:rPr>
          <w:sz w:val="28"/>
          <w:lang w:val="en-NZ"/>
        </w:rPr>
      </w:pPr>
      <w:r w:rsidRPr="00EE3301">
        <w:rPr>
          <w:rFonts w:ascii="Times New Roman" w:hAnsi="Times New Roman"/>
          <w:sz w:val="28"/>
          <w:szCs w:val="24"/>
        </w:rPr>
        <w:t>National implementation and monitoring (art. 33)</w:t>
      </w:r>
    </w:p>
    <w:p w:rsidR="00064B7F" w:rsidRPr="00237D85" w:rsidRDefault="00064B7F" w:rsidP="00320CC4">
      <w:pPr>
        <w:pStyle w:val="CRPD-Questionstyle"/>
        <w:widowControl w:val="0"/>
        <w:spacing w:line="240" w:lineRule="auto"/>
        <w:rPr>
          <w:lang w:val="en-NZ"/>
        </w:rPr>
      </w:pPr>
      <w:r w:rsidRPr="00237D85">
        <w:rPr>
          <w:lang w:val="en-NZ"/>
        </w:rPr>
        <w:t>31.</w:t>
      </w:r>
      <w:r w:rsidRPr="00237D85">
        <w:rPr>
          <w:lang w:val="en-NZ"/>
        </w:rPr>
        <w:tab/>
      </w:r>
      <w:r w:rsidR="002625D2">
        <w:rPr>
          <w:lang w:val="en-NZ"/>
        </w:rPr>
        <w:t>C</w:t>
      </w:r>
      <w:r w:rsidRPr="00237D85">
        <w:rPr>
          <w:lang w:val="en-NZ"/>
        </w:rPr>
        <w:t xml:space="preserve">oncrete cases and future plans that reflect the outcomes provided by the monitoring process, especially in the </w:t>
      </w:r>
      <w:r w:rsidR="002D21E1">
        <w:rPr>
          <w:lang w:val="en-NZ"/>
        </w:rPr>
        <w:t>NZ</w:t>
      </w:r>
      <w:r w:rsidRPr="00237D85">
        <w:rPr>
          <w:lang w:val="en-NZ"/>
        </w:rPr>
        <w:t xml:space="preserve"> Disability Strategy 2016–2026, and other measures for implementing the Convention.</w:t>
      </w:r>
    </w:p>
    <w:p w:rsidR="00D85DF1" w:rsidRDefault="00D85DF1" w:rsidP="00320CC4">
      <w:pPr>
        <w:pStyle w:val="CRPD-subsectionheading"/>
        <w:spacing w:line="240" w:lineRule="auto"/>
      </w:pPr>
      <w:bookmarkStart w:id="23" w:name="_Hlk512416238"/>
      <w:r>
        <w:t xml:space="preserve">The </w:t>
      </w:r>
      <w:r w:rsidR="000E5BE2">
        <w:t>IMM</w:t>
      </w:r>
      <w:r>
        <w:t xml:space="preserve"> provides an independent perspective on progress toward achieving the outcomes and goals of the </w:t>
      </w:r>
      <w:r w:rsidR="002D21E1">
        <w:t>Disability Strategy</w:t>
      </w:r>
      <w:r>
        <w:t xml:space="preserve"> and monitors the Government’s progress against the </w:t>
      </w:r>
      <w:r w:rsidR="00B04E73">
        <w:t>CRPD</w:t>
      </w:r>
      <w:r>
        <w:t>.</w:t>
      </w:r>
    </w:p>
    <w:p w:rsidR="000A40C5" w:rsidRPr="0086359F" w:rsidRDefault="000A40C5" w:rsidP="00320CC4">
      <w:pPr>
        <w:pStyle w:val="CRPD-subsectionheading"/>
        <w:spacing w:line="240" w:lineRule="auto"/>
      </w:pPr>
      <w:r w:rsidRPr="0086359F">
        <w:t xml:space="preserve">In 2017, the </w:t>
      </w:r>
      <w:r w:rsidRPr="0086359F">
        <w:rPr>
          <w:i/>
        </w:rPr>
        <w:t>Ministers’ Leadership Group on Disability Issues</w:t>
      </w:r>
      <w:r w:rsidRPr="0086359F">
        <w:t xml:space="preserve"> was established to respond to the six key issues identified by the </w:t>
      </w:r>
      <w:r w:rsidR="000E5BE2" w:rsidRPr="0086359F">
        <w:t>IMM</w:t>
      </w:r>
      <w:r w:rsidR="000D6446" w:rsidRPr="0086359F">
        <w:rPr>
          <w:rStyle w:val="FootnoteReference"/>
        </w:rPr>
        <w:footnoteReference w:id="248"/>
      </w:r>
      <w:r w:rsidR="000D6446" w:rsidRPr="0086359F">
        <w:t>.</w:t>
      </w:r>
      <w:r w:rsidRPr="0086359F">
        <w:t xml:space="preserve"> Th</w:t>
      </w:r>
      <w:r w:rsidR="00245287" w:rsidRPr="0086359F">
        <w:t>is</w:t>
      </w:r>
      <w:r w:rsidRPr="0086359F">
        <w:t xml:space="preserve"> Group is a collection of Ministers that provide leadership on disability issues. </w:t>
      </w:r>
      <w:r w:rsidR="00880E4D" w:rsidRPr="0086359F">
        <w:t>Government agencies are progressing action to improve these</w:t>
      </w:r>
      <w:r w:rsidRPr="0086359F">
        <w:t xml:space="preserve"> six key issues</w:t>
      </w:r>
      <w:r w:rsidR="00245287" w:rsidRPr="0086359F">
        <w:t>. These</w:t>
      </w:r>
      <w:r w:rsidR="00880E4D" w:rsidRPr="0086359F">
        <w:t xml:space="preserve"> will be included in the </w:t>
      </w:r>
      <w:r w:rsidR="00880E4D" w:rsidRPr="0086359F">
        <w:rPr>
          <w:i/>
        </w:rPr>
        <w:t>Disability Action Plan 2019-2022</w:t>
      </w:r>
      <w:r w:rsidR="00880E4D" w:rsidRPr="0086359F">
        <w:t xml:space="preserve">. </w:t>
      </w:r>
    </w:p>
    <w:p w:rsidR="00D90E08" w:rsidRDefault="00245287" w:rsidP="00320CC4">
      <w:pPr>
        <w:pStyle w:val="CRPD-subsectionheading"/>
        <w:spacing w:line="240" w:lineRule="auto"/>
      </w:pPr>
      <w:r>
        <w:t>R</w:t>
      </w:r>
      <w:r w:rsidR="00D90E08" w:rsidRPr="00A163A4">
        <w:t xml:space="preserve">ecommendations </w:t>
      </w:r>
      <w:r>
        <w:t xml:space="preserve">are being actioned from </w:t>
      </w:r>
      <w:r w:rsidR="00D90E08" w:rsidRPr="00A163A4">
        <w:t xml:space="preserve">the </w:t>
      </w:r>
      <w:r w:rsidR="000E5BE2">
        <w:t>IMM</w:t>
      </w:r>
      <w:r w:rsidR="00D90E08" w:rsidRPr="00A163A4">
        <w:t xml:space="preserve">’s </w:t>
      </w:r>
      <w:r w:rsidR="00D90E08" w:rsidRPr="00942A6F">
        <w:t>report:</w:t>
      </w:r>
      <w:r w:rsidR="00D90E08" w:rsidRPr="000A40C5">
        <w:rPr>
          <w:i/>
        </w:rPr>
        <w:t xml:space="preserve"> Article</w:t>
      </w:r>
      <w:r w:rsidR="00A163A4" w:rsidRPr="000A40C5">
        <w:rPr>
          <w:i/>
        </w:rPr>
        <w:t> </w:t>
      </w:r>
      <w:r w:rsidR="00D90E08" w:rsidRPr="000A40C5">
        <w:rPr>
          <w:i/>
        </w:rPr>
        <w:t>24 the Right to an Inclusive Education</w:t>
      </w:r>
      <w:r w:rsidR="00D90E08">
        <w:t xml:space="preserve">. </w:t>
      </w:r>
      <w:r w:rsidR="00A163A4">
        <w:t>A</w:t>
      </w:r>
      <w:r w:rsidR="00D90E08">
        <w:t xml:space="preserve">dvisory groups with disability representatives </w:t>
      </w:r>
      <w:r>
        <w:t xml:space="preserve">have been created </w:t>
      </w:r>
      <w:r w:rsidR="00D90E08">
        <w:t>including</w:t>
      </w:r>
      <w:r>
        <w:t xml:space="preserve"> a</w:t>
      </w:r>
      <w:r w:rsidR="00D90E08">
        <w:t xml:space="preserve"> working group to improve the transitions of disabled people from school and tertiary education into employment. </w:t>
      </w:r>
    </w:p>
    <w:bookmarkEnd w:id="23"/>
    <w:p w:rsidR="00064B7F" w:rsidRPr="00237D85" w:rsidRDefault="00064B7F" w:rsidP="00320CC4">
      <w:pPr>
        <w:pStyle w:val="CRPD-Questionstyle"/>
        <w:widowControl w:val="0"/>
        <w:spacing w:line="240" w:lineRule="auto"/>
        <w:rPr>
          <w:lang w:val="en-NZ"/>
        </w:rPr>
      </w:pPr>
      <w:r w:rsidRPr="00237D85">
        <w:rPr>
          <w:lang w:val="en-NZ"/>
        </w:rPr>
        <w:t>32.</w:t>
      </w:r>
      <w:r w:rsidRPr="00237D85">
        <w:rPr>
          <w:lang w:val="en-NZ"/>
        </w:rPr>
        <w:tab/>
      </w:r>
    </w:p>
    <w:p w:rsidR="00064B7F" w:rsidRPr="00237D85" w:rsidRDefault="00064B7F" w:rsidP="00320CC4">
      <w:pPr>
        <w:pStyle w:val="CRPD-Questionstyle"/>
        <w:widowControl w:val="0"/>
        <w:spacing w:line="240" w:lineRule="auto"/>
        <w:rPr>
          <w:lang w:val="en-NZ"/>
        </w:rPr>
      </w:pPr>
      <w:r w:rsidRPr="00237D85">
        <w:rPr>
          <w:lang w:val="en-NZ"/>
        </w:rPr>
        <w:tab/>
        <w:t>(a)</w:t>
      </w:r>
      <w:r w:rsidRPr="00237D85">
        <w:rPr>
          <w:lang w:val="en-NZ"/>
        </w:rPr>
        <w:tab/>
        <w:t xml:space="preserve">The mandate and human, financial and technical resources of the independent monitoring framework of the Convention, and the extent to which the Principles relating to the status of national institutions for the protection and promotion of human rights (the Paris Principles) have been taken into account; </w:t>
      </w:r>
    </w:p>
    <w:p w:rsidR="00064B7F" w:rsidRPr="00237D85" w:rsidRDefault="00AF388B" w:rsidP="00320CC4">
      <w:pPr>
        <w:pStyle w:val="CRPD-subsectionheading"/>
        <w:spacing w:line="240" w:lineRule="auto"/>
      </w:pPr>
      <w:r w:rsidRPr="00237D85">
        <w:t xml:space="preserve">The </w:t>
      </w:r>
      <w:r w:rsidR="000E5BE2">
        <w:t xml:space="preserve">IMM </w:t>
      </w:r>
      <w:r w:rsidR="00064B7F" w:rsidRPr="00237D85">
        <w:t xml:space="preserve">was </w:t>
      </w:r>
      <w:r w:rsidR="00EE0CC3">
        <w:t>set up</w:t>
      </w:r>
      <w:r w:rsidR="00EE0CC3" w:rsidRPr="00237D85">
        <w:t xml:space="preserve"> </w:t>
      </w:r>
      <w:r w:rsidR="00064B7F" w:rsidRPr="00237D85">
        <w:t>by the Government in 2010. It is composed of the Human Rights Commission</w:t>
      </w:r>
      <w:r w:rsidR="00245287">
        <w:rPr>
          <w:rStyle w:val="FootnoteReference"/>
        </w:rPr>
        <w:footnoteReference w:id="249"/>
      </w:r>
      <w:r w:rsidR="00064B7F" w:rsidRPr="00237D85">
        <w:t xml:space="preserve">, the Office of the Ombudsman, and </w:t>
      </w:r>
      <w:r w:rsidR="00EE0CC3">
        <w:t>the</w:t>
      </w:r>
      <w:r w:rsidR="00064B7F" w:rsidRPr="00237D85">
        <w:t xml:space="preserve"> </w:t>
      </w:r>
      <w:r w:rsidR="00572608">
        <w:t>DPO Coalition</w:t>
      </w:r>
      <w:r w:rsidR="00064B7F" w:rsidRPr="00237D85">
        <w:t xml:space="preserve">. </w:t>
      </w:r>
    </w:p>
    <w:p w:rsidR="00064B7F" w:rsidRPr="00237D85" w:rsidRDefault="00064B7F" w:rsidP="00320CC4">
      <w:pPr>
        <w:pStyle w:val="CRPD-subsectionheading"/>
        <w:spacing w:line="240" w:lineRule="auto"/>
      </w:pPr>
      <w:r w:rsidRPr="00237D85">
        <w:lastRenderedPageBreak/>
        <w:t xml:space="preserve">The Human Rights Commission and the Office of the Ombudsman are established by statute and have powers to operate independent of </w:t>
      </w:r>
      <w:r w:rsidR="0059111B" w:rsidRPr="00237D85">
        <w:t>g</w:t>
      </w:r>
      <w:r w:rsidRPr="00237D85">
        <w:t>overnment. As an office of Parliament, the Office of the Ombudsman is accountable only to Parliament.</w:t>
      </w:r>
    </w:p>
    <w:p w:rsidR="00064B7F" w:rsidRPr="00237D85" w:rsidRDefault="00064B7F" w:rsidP="00320CC4">
      <w:pPr>
        <w:pStyle w:val="CRPD-subsectionheading"/>
        <w:spacing w:line="240" w:lineRule="auto"/>
      </w:pPr>
      <w:r w:rsidRPr="00237D85">
        <w:t xml:space="preserve">The members of the </w:t>
      </w:r>
      <w:r w:rsidR="00EE0CC3">
        <w:t>DPO</w:t>
      </w:r>
      <w:r w:rsidR="0041603A" w:rsidRPr="00237D85">
        <w:t xml:space="preserve"> Coalition</w:t>
      </w:r>
      <w:r w:rsidRPr="00237D85">
        <w:t xml:space="preserve"> are each independently incorporated civil society organisations, which are</w:t>
      </w:r>
      <w:r w:rsidR="001248AE">
        <w:t xml:space="preserve"> </w:t>
      </w:r>
      <w:r w:rsidRPr="00237D85">
        <w:t xml:space="preserve">independent of </w:t>
      </w:r>
      <w:r w:rsidR="0059111B" w:rsidRPr="00237D85">
        <w:t>g</w:t>
      </w:r>
      <w:r w:rsidRPr="00237D85">
        <w:t xml:space="preserve">overnment. </w:t>
      </w:r>
    </w:p>
    <w:p w:rsidR="00064B7F" w:rsidRPr="00237D85" w:rsidRDefault="00064B7F" w:rsidP="00320CC4">
      <w:pPr>
        <w:pStyle w:val="CRPD-subsectionheading"/>
        <w:spacing w:line="240" w:lineRule="auto"/>
      </w:pPr>
      <w:r w:rsidRPr="00237D85">
        <w:t>In 2010, the Government provided funding to all three partners to undertake additional acti</w:t>
      </w:r>
      <w:r w:rsidR="00FE0B3F">
        <w:t xml:space="preserve">vities as the </w:t>
      </w:r>
      <w:r w:rsidR="00820EE3">
        <w:t>IMM</w:t>
      </w:r>
      <w:r w:rsidRPr="00237D85">
        <w:t xml:space="preserve">, acting within their existing mandates. Funding for the Human Rights Commission was time-limited, whereas funding for the Office of the Ombudsman became incorporated into its baseline funding. </w:t>
      </w:r>
    </w:p>
    <w:p w:rsidR="00064B7F" w:rsidRPr="00237D85" w:rsidRDefault="007B01AF" w:rsidP="00320CC4">
      <w:pPr>
        <w:pStyle w:val="CRPD-subsectionheading"/>
        <w:spacing w:line="240" w:lineRule="auto"/>
      </w:pPr>
      <w:r>
        <w:t>T</w:t>
      </w:r>
      <w:r w:rsidRPr="00237D85">
        <w:t xml:space="preserve">he </w:t>
      </w:r>
      <w:r w:rsidRPr="00820EE3">
        <w:t>Office for Disability Issues provide</w:t>
      </w:r>
      <w:r w:rsidR="00FE0B3F" w:rsidRPr="00820EE3">
        <w:t>s</w:t>
      </w:r>
      <w:r w:rsidRPr="00820EE3">
        <w:t xml:space="preserve"> o</w:t>
      </w:r>
      <w:r w:rsidR="00064B7F" w:rsidRPr="00820EE3">
        <w:t xml:space="preserve">ngoing funding for the </w:t>
      </w:r>
      <w:r w:rsidR="00572608" w:rsidRPr="00820EE3">
        <w:t>DPO Coalition</w:t>
      </w:r>
      <w:r w:rsidR="00820EE3" w:rsidRPr="00820EE3">
        <w:t xml:space="preserve"> to provide disabled people-led monitoring</w:t>
      </w:r>
      <w:r w:rsidR="00064B7F" w:rsidRPr="00820EE3">
        <w:t xml:space="preserve"> </w:t>
      </w:r>
      <w:r w:rsidR="00F62E24" w:rsidRPr="00820EE3">
        <w:t xml:space="preserve">(see </w:t>
      </w:r>
      <w:r w:rsidR="00A96E48" w:rsidRPr="00820EE3">
        <w:t>question</w:t>
      </w:r>
      <w:r w:rsidR="00F62E24" w:rsidRPr="00820EE3">
        <w:t xml:space="preserve"> 4).</w:t>
      </w:r>
    </w:p>
    <w:p w:rsidR="00064B7F" w:rsidRPr="00237D85" w:rsidRDefault="001B181D" w:rsidP="00320CC4">
      <w:pPr>
        <w:pStyle w:val="CRPD-subsectionheading"/>
        <w:spacing w:line="240" w:lineRule="auto"/>
      </w:pPr>
      <w:r w:rsidRPr="00237D85">
        <w:t xml:space="preserve">The </w:t>
      </w:r>
      <w:r w:rsidR="00820EE3">
        <w:t>IMM</w:t>
      </w:r>
      <w:r w:rsidR="00064B7F" w:rsidRPr="00237D85">
        <w:t xml:space="preserve"> determines its</w:t>
      </w:r>
      <w:r w:rsidRPr="00237D85">
        <w:t xml:space="preserve"> own work programme, activities</w:t>
      </w:r>
      <w:r w:rsidR="00064B7F" w:rsidRPr="00237D85">
        <w:t xml:space="preserve"> and allocation of resources (human, financial and technical) available to it.</w:t>
      </w:r>
      <w:r w:rsidR="007B01AF">
        <w:t xml:space="preserve"> The </w:t>
      </w:r>
      <w:r w:rsidR="00820EE3">
        <w:t>IMM</w:t>
      </w:r>
      <w:r w:rsidR="007B01AF">
        <w:t xml:space="preserve"> meets at least annually with Ministers to discuss priorities affecting disabled people.</w:t>
      </w:r>
    </w:p>
    <w:p w:rsidR="00064B7F" w:rsidRPr="00237D85" w:rsidRDefault="00064B7F" w:rsidP="00320CC4">
      <w:pPr>
        <w:pStyle w:val="CRPD-Questionstyle"/>
        <w:widowControl w:val="0"/>
        <w:spacing w:line="240" w:lineRule="auto"/>
        <w:rPr>
          <w:lang w:val="en-NZ"/>
        </w:rPr>
      </w:pPr>
      <w:r w:rsidRPr="00237D85">
        <w:rPr>
          <w:lang w:val="en-NZ"/>
        </w:rPr>
        <w:tab/>
        <w:t>(b)</w:t>
      </w:r>
      <w:r w:rsidRPr="00237D85">
        <w:rPr>
          <w:lang w:val="en-NZ"/>
        </w:rPr>
        <w:tab/>
        <w:t xml:space="preserve">The results of the review </w:t>
      </w:r>
      <w:r w:rsidRPr="00FE0B3F">
        <w:rPr>
          <w:lang w:val="en-NZ"/>
        </w:rPr>
        <w:t>by the</w:t>
      </w:r>
      <w:r w:rsidRPr="00237D85">
        <w:rPr>
          <w:lang w:val="en-NZ"/>
        </w:rPr>
        <w:t xml:space="preserve"> monitoring mechanism, and how those results are reflected in practice, particularly in the planning and development of programmes;</w:t>
      </w:r>
    </w:p>
    <w:p w:rsidR="00FE0B3F" w:rsidRDefault="00880E4D" w:rsidP="00320CC4">
      <w:pPr>
        <w:pStyle w:val="CRPD-subsectionheading"/>
        <w:spacing w:line="240" w:lineRule="auto"/>
      </w:pPr>
      <w:r>
        <w:t xml:space="preserve">No review of the </w:t>
      </w:r>
      <w:r w:rsidR="000E5BE2">
        <w:t>IMM</w:t>
      </w:r>
      <w:r w:rsidR="00FE0B3F" w:rsidRPr="00FE0B3F">
        <w:t xml:space="preserve"> has been </w:t>
      </w:r>
      <w:r w:rsidR="00245287">
        <w:t>carried out</w:t>
      </w:r>
      <w:r w:rsidR="00FE0B3F" w:rsidRPr="00FE0B3F">
        <w:t>.</w:t>
      </w:r>
    </w:p>
    <w:p w:rsidR="00064B7F" w:rsidRPr="000D6446" w:rsidRDefault="00064B7F" w:rsidP="00320CC4">
      <w:pPr>
        <w:pStyle w:val="CRPD-subsectionheading"/>
        <w:spacing w:line="240" w:lineRule="auto"/>
      </w:pPr>
      <w:r w:rsidRPr="00237D85">
        <w:t xml:space="preserve">In 2016/2017, the Office for Disability Issues commissioned an independent review of the disabled people-led monitoring </w:t>
      </w:r>
      <w:r w:rsidR="00820EE3">
        <w:t>part</w:t>
      </w:r>
      <w:r w:rsidRPr="00237D85">
        <w:t xml:space="preserve"> </w:t>
      </w:r>
      <w:r w:rsidR="00FE0B3F">
        <w:t xml:space="preserve">of the </w:t>
      </w:r>
      <w:r w:rsidR="000E5BE2">
        <w:t>IMM</w:t>
      </w:r>
      <w:r w:rsidRPr="00237D85">
        <w:t xml:space="preserve">, which had been provided by </w:t>
      </w:r>
      <w:r w:rsidR="00820EE3">
        <w:t>the</w:t>
      </w:r>
      <w:r w:rsidRPr="00237D85">
        <w:t xml:space="preserve"> </w:t>
      </w:r>
      <w:r w:rsidR="00820EE3">
        <w:t xml:space="preserve">Convention Coalition Monitoring Group (overseen by the </w:t>
      </w:r>
      <w:r w:rsidR="00572608">
        <w:t>DPO Coalition</w:t>
      </w:r>
      <w:r w:rsidR="00820EE3">
        <w:t>)</w:t>
      </w:r>
      <w:r w:rsidRPr="00237D85">
        <w:t xml:space="preserve">. The review looked at the effectiveness and efficiency of how it had provided disabled people-led monitoring of their rights and provided recommendations </w:t>
      </w:r>
      <w:r w:rsidRPr="000D6446">
        <w:t>to inform future arrangements</w:t>
      </w:r>
      <w:r w:rsidR="007B5330" w:rsidRPr="000D6446">
        <w:rPr>
          <w:rStyle w:val="FootnoteReference"/>
        </w:rPr>
        <w:footnoteReference w:id="250"/>
      </w:r>
      <w:r w:rsidRPr="000D6446">
        <w:t xml:space="preserve">. </w:t>
      </w:r>
    </w:p>
    <w:p w:rsidR="00817CEC" w:rsidRPr="000D6446" w:rsidRDefault="00817CEC" w:rsidP="00320CC4">
      <w:pPr>
        <w:pStyle w:val="CRPD-subsectionheading"/>
        <w:spacing w:line="240" w:lineRule="auto"/>
      </w:pPr>
      <w:r w:rsidRPr="000D6446">
        <w:t>During</w:t>
      </w:r>
      <w:r w:rsidR="00064B7F" w:rsidRPr="000D6446">
        <w:t xml:space="preserve"> 2018, the </w:t>
      </w:r>
      <w:r w:rsidR="00572608" w:rsidRPr="000D6446">
        <w:t>DPO Coalition</w:t>
      </w:r>
      <w:r w:rsidR="00064B7F" w:rsidRPr="000D6446">
        <w:t xml:space="preserve">, in partnership with the Office for Disability Issues, </w:t>
      </w:r>
      <w:r w:rsidRPr="000D6446">
        <w:t>worked</w:t>
      </w:r>
      <w:r w:rsidR="00064B7F" w:rsidRPr="000D6446">
        <w:t xml:space="preserve"> to ensure tha</w:t>
      </w:r>
      <w:r w:rsidRPr="000D6446">
        <w:t>t an effective disabled people-</w:t>
      </w:r>
      <w:r w:rsidR="00064B7F" w:rsidRPr="000D6446">
        <w:t xml:space="preserve">led monitoring approach </w:t>
      </w:r>
      <w:r w:rsidRPr="000D6446">
        <w:t>was</w:t>
      </w:r>
      <w:r w:rsidR="00064B7F" w:rsidRPr="000D6446">
        <w:t xml:space="preserve"> </w:t>
      </w:r>
      <w:r w:rsidRPr="000D6446">
        <w:t xml:space="preserve">being </w:t>
      </w:r>
      <w:r w:rsidR="00064B7F" w:rsidRPr="000D6446">
        <w:t xml:space="preserve">used. </w:t>
      </w:r>
    </w:p>
    <w:p w:rsidR="000E30BB" w:rsidRPr="000D6446" w:rsidRDefault="000E30BB" w:rsidP="00320CC4">
      <w:pPr>
        <w:pStyle w:val="CRPD-subsectionheading"/>
        <w:spacing w:line="240" w:lineRule="auto"/>
      </w:pPr>
      <w:r w:rsidRPr="000D6446">
        <w:lastRenderedPageBreak/>
        <w:t>On the basis of that review, the DPO Coal</w:t>
      </w:r>
      <w:r w:rsidR="006A43F9">
        <w:t xml:space="preserve">ition </w:t>
      </w:r>
      <w:r w:rsidRPr="000D6446">
        <w:t>procured a provider to implement the new approach over the next 3 years.</w:t>
      </w:r>
    </w:p>
    <w:p w:rsidR="00064B7F" w:rsidRPr="00237D85" w:rsidRDefault="00064B7F" w:rsidP="00320CC4">
      <w:pPr>
        <w:pStyle w:val="CRPD-Questionstyle"/>
        <w:widowControl w:val="0"/>
        <w:spacing w:line="240" w:lineRule="auto"/>
        <w:rPr>
          <w:lang w:val="en-NZ"/>
        </w:rPr>
      </w:pPr>
      <w:r w:rsidRPr="00237D85">
        <w:rPr>
          <w:lang w:val="en-NZ"/>
        </w:rPr>
        <w:tab/>
        <w:t>(c)</w:t>
      </w:r>
      <w:r w:rsidRPr="00237D85">
        <w:rPr>
          <w:lang w:val="en-NZ"/>
        </w:rPr>
        <w:tab/>
        <w:t>The funds allocated by the independent monitoring framework to facilitate the participation of all organizations of persons with disabilities in monitoring the Convention, and the mechanisms, methodologies and information accessible by organizations of persons with disabilities, including organizations of persons with intellectual disabilities;</w:t>
      </w:r>
    </w:p>
    <w:p w:rsidR="00064B7F" w:rsidRPr="00820EE3" w:rsidRDefault="00A163A4" w:rsidP="00320CC4">
      <w:pPr>
        <w:pStyle w:val="CRPD-subsectionheading"/>
        <w:spacing w:line="240" w:lineRule="auto"/>
      </w:pPr>
      <w:r w:rsidRPr="00820EE3">
        <w:t>See</w:t>
      </w:r>
      <w:r w:rsidR="00064B7F" w:rsidRPr="00820EE3">
        <w:t xml:space="preserve"> </w:t>
      </w:r>
      <w:r w:rsidR="00A96E48" w:rsidRPr="00820EE3">
        <w:t>question</w:t>
      </w:r>
      <w:r w:rsidR="00064B7F" w:rsidRPr="00820EE3">
        <w:t xml:space="preserve"> 32(a).</w:t>
      </w:r>
    </w:p>
    <w:p w:rsidR="00064B7F" w:rsidRPr="00237D85" w:rsidRDefault="00064B7F" w:rsidP="00320CC4">
      <w:pPr>
        <w:pStyle w:val="CRPD-Questionstyle"/>
        <w:widowControl w:val="0"/>
        <w:spacing w:line="240" w:lineRule="auto"/>
        <w:rPr>
          <w:lang w:val="en-NZ"/>
        </w:rPr>
      </w:pPr>
      <w:r w:rsidRPr="00237D85">
        <w:rPr>
          <w:lang w:val="en-NZ"/>
        </w:rPr>
        <w:tab/>
        <w:t>(d)</w:t>
      </w:r>
      <w:r w:rsidRPr="00237D85">
        <w:rPr>
          <w:lang w:val="en-NZ"/>
        </w:rPr>
        <w:tab/>
      </w:r>
      <w:r w:rsidR="002625D2">
        <w:rPr>
          <w:lang w:val="en-NZ"/>
        </w:rPr>
        <w:t>M</w:t>
      </w:r>
      <w:r w:rsidRPr="00237D85">
        <w:rPr>
          <w:lang w:val="en-NZ"/>
        </w:rPr>
        <w:t>easures taken by the State party to implement and or amend legislation, policies and practices concerning the rights of persons with disabilities following the recommendations and/or findings of the independent monitoring framework.</w:t>
      </w:r>
    </w:p>
    <w:p w:rsidR="00064B7F" w:rsidRPr="0097200D" w:rsidRDefault="00F82D3C" w:rsidP="00320CC4">
      <w:pPr>
        <w:pStyle w:val="CRPD-subsectionheading"/>
        <w:spacing w:line="240" w:lineRule="auto"/>
      </w:pPr>
      <w:r w:rsidRPr="0097200D">
        <w:t xml:space="preserve">Issues raised by the </w:t>
      </w:r>
      <w:r w:rsidR="000E5BE2">
        <w:t>IMM</w:t>
      </w:r>
      <w:r w:rsidR="00064B7F" w:rsidRPr="0097200D">
        <w:t xml:space="preserve"> inform</w:t>
      </w:r>
      <w:r w:rsidR="0097200D" w:rsidRPr="0097200D">
        <w:t>ed</w:t>
      </w:r>
      <w:r w:rsidR="00064B7F" w:rsidRPr="0097200D">
        <w:t xml:space="preserve"> the development and revision of the </w:t>
      </w:r>
      <w:r w:rsidR="00064B7F" w:rsidRPr="0097200D">
        <w:rPr>
          <w:rStyle w:val="CRPDStateParty-bodyitalicsChar"/>
          <w:noProof w:val="0"/>
        </w:rPr>
        <w:t>Disability Action Plan</w:t>
      </w:r>
      <w:r w:rsidR="00FF7D8D" w:rsidRPr="0097200D">
        <w:rPr>
          <w:rStyle w:val="CRPDStateParty-bodyitalicsChar"/>
          <w:noProof w:val="0"/>
        </w:rPr>
        <w:t xml:space="preserve"> 2014-2018</w:t>
      </w:r>
      <w:r w:rsidR="006A43F9">
        <w:t xml:space="preserve">, and </w:t>
      </w:r>
      <w:r w:rsidR="006A43F9" w:rsidRPr="0097200D">
        <w:t xml:space="preserve">the </w:t>
      </w:r>
      <w:r w:rsidR="006A43F9" w:rsidRPr="0097200D">
        <w:rPr>
          <w:rStyle w:val="CRPDStateParty-bodyitalicsChar"/>
          <w:noProof w:val="0"/>
        </w:rPr>
        <w:t>Disability Action Plan</w:t>
      </w:r>
      <w:r w:rsidR="006A43F9">
        <w:rPr>
          <w:rStyle w:val="CRPDStateParty-bodyitalicsChar"/>
          <w:noProof w:val="0"/>
        </w:rPr>
        <w:t xml:space="preserve"> 2019-2022.</w:t>
      </w:r>
    </w:p>
    <w:p w:rsidR="00064B7F" w:rsidRPr="00237D85" w:rsidRDefault="00064B7F" w:rsidP="00320CC4">
      <w:pPr>
        <w:pStyle w:val="CRPD-subsectionheading"/>
        <w:spacing w:line="240" w:lineRule="auto"/>
      </w:pPr>
      <w:r w:rsidRPr="00524697">
        <w:t>In June 2015, the Governmen</w:t>
      </w:r>
      <w:r w:rsidR="00F82D3C" w:rsidRPr="00524697">
        <w:t xml:space="preserve">t released its response to the </w:t>
      </w:r>
      <w:r w:rsidR="000E5BE2">
        <w:t>IMM</w:t>
      </w:r>
      <w:r w:rsidRPr="00524697">
        <w:t>’s 2012 and 2014 reports</w:t>
      </w:r>
      <w:r w:rsidR="00524697" w:rsidRPr="00524697">
        <w:rPr>
          <w:rStyle w:val="FootnoteReference"/>
        </w:rPr>
        <w:footnoteReference w:id="251"/>
      </w:r>
      <w:r w:rsidRPr="00524697">
        <w:t>.</w:t>
      </w:r>
      <w:r w:rsidRPr="00237D85">
        <w:t xml:space="preserve"> </w:t>
      </w:r>
    </w:p>
    <w:p w:rsidR="0097200D" w:rsidRDefault="0097200D" w:rsidP="00320CC4">
      <w:pPr>
        <w:pStyle w:val="CRPD-subsectionheading"/>
        <w:spacing w:line="240" w:lineRule="auto"/>
      </w:pPr>
      <w:r>
        <w:t xml:space="preserve">In response to the </w:t>
      </w:r>
      <w:r w:rsidR="000E5BE2">
        <w:t>IMM</w:t>
      </w:r>
      <w:r>
        <w:t>’s recommendations, in 2017:</w:t>
      </w:r>
    </w:p>
    <w:p w:rsidR="00064B7F" w:rsidRPr="00237D85" w:rsidRDefault="00064B7F" w:rsidP="00320CC4">
      <w:pPr>
        <w:pStyle w:val="CRPDStateParty-bullets"/>
        <w:widowControl w:val="0"/>
        <w:spacing w:line="240" w:lineRule="auto"/>
      </w:pPr>
      <w:r w:rsidRPr="00237D85">
        <w:t xml:space="preserve">Parliament enacted legislation </w:t>
      </w:r>
      <w:r w:rsidR="006A43F9">
        <w:t>to</w:t>
      </w:r>
      <w:r w:rsidRPr="00237D85">
        <w:t xml:space="preserve"> repeal sections 141 and 142 of the </w:t>
      </w:r>
      <w:r w:rsidR="006A43F9">
        <w:rPr>
          <w:i/>
        </w:rPr>
        <w:t xml:space="preserve">Oranga Tamariki </w:t>
      </w:r>
      <w:r w:rsidRPr="00237D85">
        <w:rPr>
          <w:i/>
        </w:rPr>
        <w:t xml:space="preserve">Act </w:t>
      </w:r>
      <w:r w:rsidR="006A43F9">
        <w:rPr>
          <w:i/>
        </w:rPr>
        <w:t>1989</w:t>
      </w:r>
      <w:r w:rsidRPr="00820EE3">
        <w:t xml:space="preserve"> (see </w:t>
      </w:r>
      <w:r w:rsidR="00A96E48" w:rsidRPr="00820EE3">
        <w:t>question</w:t>
      </w:r>
      <w:r w:rsidR="00820EE3">
        <w:t xml:space="preserve"> 21(a))</w:t>
      </w:r>
    </w:p>
    <w:p w:rsidR="00064B7F" w:rsidRPr="00237D85" w:rsidRDefault="00820EE3" w:rsidP="00320CC4">
      <w:pPr>
        <w:pStyle w:val="CRPDStateParty-bullets"/>
        <w:widowControl w:val="0"/>
        <w:spacing w:line="240" w:lineRule="auto"/>
      </w:pPr>
      <w:r>
        <w:t>t</w:t>
      </w:r>
      <w:r w:rsidR="00064B7F" w:rsidRPr="00237D85">
        <w:t xml:space="preserve">he Government noted that the </w:t>
      </w:r>
      <w:r w:rsidR="00064B7F" w:rsidRPr="00237D85">
        <w:rPr>
          <w:i/>
        </w:rPr>
        <w:t xml:space="preserve">Mental Health (Compulsory Assessment and Treatment) Act 1992 </w:t>
      </w:r>
      <w:r w:rsidR="00064B7F" w:rsidRPr="00237D85">
        <w:t xml:space="preserve">was likely to be inconsistent with the </w:t>
      </w:r>
      <w:r w:rsidR="003D1AC6" w:rsidRPr="00237D85">
        <w:t>CRPD</w:t>
      </w:r>
      <w:r w:rsidR="003932BE">
        <w:t xml:space="preserve"> </w:t>
      </w:r>
      <w:r>
        <w:t>(see question 13(b))</w:t>
      </w:r>
      <w:r w:rsidR="002769FA">
        <w:t>.</w:t>
      </w:r>
    </w:p>
    <w:sectPr w:rsidR="00064B7F" w:rsidRPr="00237D85" w:rsidSect="00253104">
      <w:headerReference w:type="default" r:id="rId9"/>
      <w:footerReference w:type="even" r:id="rId10"/>
      <w:footerReference w:type="default" r:id="rId11"/>
      <w:footerReference w:type="firs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17D" w:rsidRPr="00317DC1" w:rsidRDefault="005C017D" w:rsidP="00317DC1">
      <w:pPr>
        <w:pStyle w:val="Footer"/>
      </w:pPr>
    </w:p>
  </w:endnote>
  <w:endnote w:type="continuationSeparator" w:id="0">
    <w:p w:rsidR="005C017D" w:rsidRPr="00317DC1" w:rsidRDefault="005C017D" w:rsidP="00317DC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6D" w:rsidRPr="00253104" w:rsidRDefault="003A486D" w:rsidP="00445418">
    <w:pPr>
      <w:pStyle w:val="Footer"/>
      <w:tabs>
        <w:tab w:val="right" w:pos="9598"/>
      </w:tabs>
    </w:pPr>
    <w:r w:rsidRPr="00253104">
      <w:rPr>
        <w:b/>
        <w:sz w:val="18"/>
      </w:rPr>
      <w:fldChar w:fldCharType="begin"/>
    </w:r>
    <w:r w:rsidRPr="00253104">
      <w:rPr>
        <w:b/>
        <w:sz w:val="18"/>
      </w:rPr>
      <w:instrText xml:space="preserve"> PAGE  \* MERGEFORMAT </w:instrText>
    </w:r>
    <w:r w:rsidRPr="00253104">
      <w:rPr>
        <w:b/>
        <w:sz w:val="18"/>
      </w:rPr>
      <w:fldChar w:fldCharType="separate"/>
    </w:r>
    <w:r w:rsidR="00EB67A9">
      <w:rPr>
        <w:b/>
        <w:noProof/>
        <w:sz w:val="18"/>
      </w:rPr>
      <w:t>2</w:t>
    </w:r>
    <w:r w:rsidRPr="00253104">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6D" w:rsidRPr="00253104" w:rsidRDefault="003A486D" w:rsidP="00253104">
    <w:pPr>
      <w:pStyle w:val="Footer"/>
      <w:tabs>
        <w:tab w:val="right" w:pos="9598"/>
      </w:tabs>
      <w:rPr>
        <w:b/>
        <w:sz w:val="18"/>
      </w:rPr>
    </w:pPr>
    <w:r>
      <w:tab/>
    </w:r>
    <w:r w:rsidRPr="00253104">
      <w:rPr>
        <w:b/>
        <w:sz w:val="18"/>
      </w:rPr>
      <w:fldChar w:fldCharType="begin"/>
    </w:r>
    <w:r w:rsidRPr="00253104">
      <w:rPr>
        <w:b/>
        <w:sz w:val="18"/>
      </w:rPr>
      <w:instrText xml:space="preserve"> PAGE  \* MERGEFORMAT </w:instrText>
    </w:r>
    <w:r w:rsidRPr="00253104">
      <w:rPr>
        <w:b/>
        <w:sz w:val="18"/>
      </w:rPr>
      <w:fldChar w:fldCharType="separate"/>
    </w:r>
    <w:r w:rsidR="00EB67A9">
      <w:rPr>
        <w:b/>
        <w:noProof/>
        <w:sz w:val="18"/>
      </w:rPr>
      <w:t>87</w:t>
    </w:r>
    <w:r w:rsidRPr="00253104">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6D" w:rsidRDefault="003A486D" w:rsidP="000F7CF5">
    <w:pPr>
      <w:pStyle w:val="Footer"/>
    </w:pPr>
  </w:p>
  <w:p w:rsidR="003A486D" w:rsidRPr="000F7CF5" w:rsidRDefault="003A486D" w:rsidP="000F7CF5">
    <w:pPr>
      <w:pStyle w:val="Footer"/>
      <w:ind w:right="1134"/>
      <w:rPr>
        <w:rFonts w:ascii="C39T30Lfz" w:hAnsi="C39T30Lfz"/>
        <w:sz w:val="5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17D" w:rsidRPr="00317DC1" w:rsidRDefault="005C017D" w:rsidP="00317DC1">
      <w:pPr>
        <w:tabs>
          <w:tab w:val="right" w:pos="2155"/>
        </w:tabs>
        <w:spacing w:after="80" w:line="240" w:lineRule="auto"/>
        <w:ind w:left="680"/>
      </w:pPr>
      <w:r>
        <w:rPr>
          <w:u w:val="single"/>
        </w:rPr>
        <w:tab/>
      </w:r>
    </w:p>
  </w:footnote>
  <w:footnote w:type="continuationSeparator" w:id="0">
    <w:p w:rsidR="005C017D" w:rsidRPr="00317DC1" w:rsidRDefault="005C017D" w:rsidP="00317DC1">
      <w:pPr>
        <w:tabs>
          <w:tab w:val="right" w:pos="2155"/>
        </w:tabs>
        <w:spacing w:after="80" w:line="240" w:lineRule="auto"/>
        <w:ind w:left="680"/>
      </w:pPr>
      <w:r>
        <w:rPr>
          <w:u w:val="single"/>
        </w:rPr>
        <w:tab/>
      </w:r>
    </w:p>
  </w:footnote>
  <w:footnote w:id="1">
    <w:p w:rsidR="003A486D" w:rsidRPr="00FB0200" w:rsidRDefault="003A486D" w:rsidP="005C6961">
      <w:pPr>
        <w:pStyle w:val="FootnoteText"/>
      </w:pPr>
      <w:r>
        <w:rPr>
          <w:lang w:val="en-US"/>
        </w:rPr>
        <w:t>Adopted by the Committee at its nineteen session (14 February – 9 March 2018).</w:t>
      </w:r>
    </w:p>
  </w:footnote>
  <w:footnote w:id="2">
    <w:p w:rsidR="003A486D" w:rsidRPr="00987E1F" w:rsidRDefault="003A486D" w:rsidP="005C6961">
      <w:pPr>
        <w:pStyle w:val="FootnoteText"/>
        <w:rPr>
          <w:lang w:val="en-NZ"/>
        </w:rPr>
      </w:pPr>
      <w:r>
        <w:rPr>
          <w:rStyle w:val="FootnoteReference"/>
        </w:rPr>
        <w:footnoteRef/>
      </w:r>
      <w:r>
        <w:t xml:space="preserve"> </w:t>
      </w:r>
      <w:hyperlink r:id="rId1" w:history="1">
        <w:r w:rsidRPr="00531D3B">
          <w:rPr>
            <w:rStyle w:val="Hyperlink"/>
          </w:rPr>
          <w:t>https://maoridictionary.co.nz/search?idiom=&amp;phrase=&amp;proverb=&amp;loan=&amp;histLoanWords=&amp;keywords=aotearoa</w:t>
        </w:r>
      </w:hyperlink>
      <w:r>
        <w:t xml:space="preserve"> </w:t>
      </w:r>
    </w:p>
  </w:footnote>
  <w:footnote w:id="3">
    <w:p w:rsidR="003A486D" w:rsidRPr="00987E1F" w:rsidRDefault="003A486D" w:rsidP="005C6961">
      <w:pPr>
        <w:pStyle w:val="FootnoteText"/>
        <w:rPr>
          <w:lang w:val="en-NZ"/>
        </w:rPr>
      </w:pPr>
      <w:r>
        <w:rPr>
          <w:rStyle w:val="FootnoteReference"/>
        </w:rPr>
        <w:footnoteRef/>
      </w:r>
      <w:r>
        <w:t xml:space="preserve"> </w:t>
      </w:r>
      <w:hyperlink r:id="rId2" w:history="1">
        <w:r w:rsidRPr="00531D3B">
          <w:rPr>
            <w:rStyle w:val="Hyperlink"/>
          </w:rPr>
          <w:t>https://maoridictionary.co.nz/search?idiom=&amp;phrase=&amp;proverb=&amp;loan=&amp;histLoanWords=&amp;keywords=maori</w:t>
        </w:r>
      </w:hyperlink>
      <w:r>
        <w:t xml:space="preserve"> </w:t>
      </w:r>
    </w:p>
  </w:footnote>
  <w:footnote w:id="4">
    <w:p w:rsidR="003A486D" w:rsidRPr="00987E1F" w:rsidRDefault="003A486D" w:rsidP="005C6961">
      <w:pPr>
        <w:pStyle w:val="FootnoteText"/>
        <w:rPr>
          <w:lang w:val="en-NZ"/>
        </w:rPr>
      </w:pPr>
      <w:r>
        <w:rPr>
          <w:rStyle w:val="FootnoteReference"/>
        </w:rPr>
        <w:footnoteRef/>
      </w:r>
      <w:r>
        <w:t xml:space="preserve"> </w:t>
      </w:r>
      <w:hyperlink r:id="rId3" w:history="1">
        <w:r w:rsidRPr="00531D3B">
          <w:rPr>
            <w:rStyle w:val="Hyperlink"/>
          </w:rPr>
          <w:t>https://maoridictionary.co.nz/search?idiom=&amp;phrase=&amp;proverb=&amp;loan=&amp;histLoanWords=&amp;keywords=whanau</w:t>
        </w:r>
      </w:hyperlink>
      <w:r>
        <w:t xml:space="preserve"> </w:t>
      </w:r>
    </w:p>
  </w:footnote>
  <w:footnote w:id="5">
    <w:p w:rsidR="003A486D" w:rsidRPr="0043646F" w:rsidRDefault="003A486D" w:rsidP="005C6961">
      <w:pPr>
        <w:pStyle w:val="FootnoteText"/>
        <w:rPr>
          <w:lang w:val="en-NZ"/>
        </w:rPr>
      </w:pPr>
      <w:r>
        <w:rPr>
          <w:rStyle w:val="FootnoteReference"/>
        </w:rPr>
        <w:footnoteRef/>
      </w:r>
      <w:r>
        <w:t xml:space="preserve"> </w:t>
      </w:r>
      <w:r>
        <w:rPr>
          <w:lang w:val="en-NZ"/>
        </w:rPr>
        <w:t xml:space="preserve">The seven organisations are: </w:t>
      </w:r>
      <w:r w:rsidRPr="004B2525">
        <w:t>Association of Blind Citizens</w:t>
      </w:r>
      <w:r>
        <w:t xml:space="preserve"> of </w:t>
      </w:r>
      <w:r w:rsidRPr="004B2525">
        <w:t>New Zealand</w:t>
      </w:r>
      <w:r>
        <w:t xml:space="preserve"> Inc, </w:t>
      </w:r>
      <w:r w:rsidRPr="004B2525">
        <w:t>Balance Aotearoa</w:t>
      </w:r>
      <w:r>
        <w:t xml:space="preserve">, Deaf Aotearoa New Zealand Inc, </w:t>
      </w:r>
      <w:r w:rsidRPr="00FE7336">
        <w:t>Disabled Persons Assembly N</w:t>
      </w:r>
      <w:r>
        <w:t xml:space="preserve">ew </w:t>
      </w:r>
      <w:r w:rsidRPr="00FE7336">
        <w:t>Z</w:t>
      </w:r>
      <w:r>
        <w:t xml:space="preserve">ealand Inc, </w:t>
      </w:r>
      <w:r w:rsidRPr="00A703C5">
        <w:t>Kāpo Māori Aotearoa</w:t>
      </w:r>
      <w:r>
        <w:t xml:space="preserve"> New Zealand Inc, </w:t>
      </w:r>
      <w:r w:rsidRPr="00A703C5">
        <w:t>Muscular Dystrophy Association of New Zealand Inc</w:t>
      </w:r>
      <w:r>
        <w:t xml:space="preserve">, </w:t>
      </w:r>
      <w:r w:rsidRPr="00A703C5">
        <w:t>People First New Zealand</w:t>
      </w:r>
      <w:r>
        <w:t xml:space="preserve"> Inc</w:t>
      </w:r>
      <w:r w:rsidRPr="00A703C5">
        <w:t xml:space="preserve"> Ngā Tāngata Tuatahi</w:t>
      </w:r>
      <w:r>
        <w:t>.</w:t>
      </w:r>
    </w:p>
  </w:footnote>
  <w:footnote w:id="6">
    <w:p w:rsidR="003A486D" w:rsidRPr="0085494F" w:rsidRDefault="003A486D" w:rsidP="005C6961">
      <w:pPr>
        <w:pStyle w:val="FootnoteText"/>
        <w:rPr>
          <w:lang w:val="en-NZ"/>
        </w:rPr>
      </w:pPr>
      <w:r>
        <w:rPr>
          <w:rStyle w:val="FootnoteReference"/>
        </w:rPr>
        <w:footnoteRef/>
      </w:r>
      <w:r>
        <w:t xml:space="preserve"> </w:t>
      </w:r>
      <w:hyperlink r:id="rId4" w:history="1">
        <w:r w:rsidRPr="009F2517">
          <w:rPr>
            <w:rStyle w:val="Hyperlink"/>
          </w:rPr>
          <w:t>www.odi.govt.nz/nz-disability-strategy/about-the-strategy/new-zealand-disability-strategy-2016-2026/read-the-new-disability-strategy/</w:t>
        </w:r>
      </w:hyperlink>
      <w:r>
        <w:t xml:space="preserve"> </w:t>
      </w:r>
    </w:p>
  </w:footnote>
  <w:footnote w:id="7">
    <w:p w:rsidR="003A486D" w:rsidRPr="00C90D03" w:rsidRDefault="003A486D" w:rsidP="005C6961">
      <w:pPr>
        <w:pStyle w:val="FootnoteText"/>
        <w:rPr>
          <w:lang w:val="en-NZ"/>
        </w:rPr>
      </w:pPr>
      <w:r>
        <w:rPr>
          <w:rStyle w:val="FootnoteReference"/>
        </w:rPr>
        <w:footnoteRef/>
      </w:r>
      <w:r>
        <w:t xml:space="preserve"> </w:t>
      </w:r>
      <w:r>
        <w:rPr>
          <w:lang w:val="en-NZ"/>
        </w:rPr>
        <w:t xml:space="preserve">The New Zealand Disability Strategy Reference Group members are detailed here: </w:t>
      </w:r>
      <w:hyperlink r:id="rId5" w:anchor="appendix" w:history="1">
        <w:r w:rsidRPr="00EF1D2C">
          <w:rPr>
            <w:rStyle w:val="Hyperlink"/>
            <w:lang w:val="en-NZ"/>
          </w:rPr>
          <w:t>www.odi.govt.nz/nz-disability-strategy/about-the-strategy/new-zealand-disability-strategy-2016-2026/read-the-new-disability-strategy/new-zealand-disability-strategy-read-online/getting-it-going-who-is-involved/#appendix</w:t>
        </w:r>
      </w:hyperlink>
      <w:r>
        <w:rPr>
          <w:lang w:val="en-NZ"/>
        </w:rPr>
        <w:t xml:space="preserve"> </w:t>
      </w:r>
    </w:p>
  </w:footnote>
  <w:footnote w:id="8">
    <w:p w:rsidR="003A486D" w:rsidRPr="00C90D03" w:rsidRDefault="003A486D" w:rsidP="005C6961">
      <w:pPr>
        <w:pStyle w:val="FootnoteText"/>
        <w:rPr>
          <w:lang w:val="en-NZ"/>
        </w:rPr>
      </w:pPr>
      <w:r>
        <w:rPr>
          <w:rStyle w:val="FootnoteReference"/>
        </w:rPr>
        <w:footnoteRef/>
      </w:r>
      <w:r>
        <w:t xml:space="preserve"> </w:t>
      </w:r>
      <w:r>
        <w:rPr>
          <w:lang w:val="en-NZ"/>
        </w:rPr>
        <w:t>W</w:t>
      </w:r>
      <w:r>
        <w:t xml:space="preserve">hānau is the Te Reo word for </w:t>
      </w:r>
      <w:r>
        <w:rPr>
          <w:szCs w:val="18"/>
        </w:rPr>
        <w:t>“</w:t>
      </w:r>
      <w:r w:rsidRPr="00DF63A7">
        <w:rPr>
          <w:szCs w:val="18"/>
        </w:rPr>
        <w:t>extended family, family group, a familiar term of address to a number of people - the primary economic unit of traditional Māori society. In the modern context the term is sometimes used to include friends who may not have any kinship ties to other members.</w:t>
      </w:r>
      <w:r>
        <w:rPr>
          <w:szCs w:val="18"/>
        </w:rPr>
        <w:t>”</w:t>
      </w:r>
    </w:p>
  </w:footnote>
  <w:footnote w:id="9">
    <w:p w:rsidR="003A486D" w:rsidRPr="00767580" w:rsidRDefault="003A486D" w:rsidP="005C6961">
      <w:pPr>
        <w:pStyle w:val="FootnoteText"/>
        <w:rPr>
          <w:lang w:val="en-NZ"/>
        </w:rPr>
      </w:pPr>
      <w:r>
        <w:rPr>
          <w:rStyle w:val="FootnoteReference"/>
        </w:rPr>
        <w:footnoteRef/>
      </w:r>
      <w:r>
        <w:t xml:space="preserve"> </w:t>
      </w:r>
      <w:r>
        <w:rPr>
          <w:lang w:val="en-NZ"/>
        </w:rPr>
        <w:t>The Minister for Disability Issues is Hon Carmel Sepuloni.</w:t>
      </w:r>
    </w:p>
  </w:footnote>
  <w:footnote w:id="10">
    <w:p w:rsidR="003A486D" w:rsidRPr="004E4764" w:rsidRDefault="003A486D" w:rsidP="005C6961">
      <w:pPr>
        <w:pStyle w:val="FootnoteText"/>
        <w:rPr>
          <w:lang w:val="en-NZ"/>
        </w:rPr>
      </w:pPr>
      <w:r>
        <w:rPr>
          <w:rStyle w:val="FootnoteReference"/>
        </w:rPr>
        <w:footnoteRef/>
      </w:r>
      <w:r>
        <w:t xml:space="preserve"> </w:t>
      </w:r>
      <w:r w:rsidRPr="004E4764">
        <w:t>“This will be a government of inclusion. All who live in this country are entitled to respect and dignity; all are entitled to live meaningful lives; all are entitled to care and compassion. Everyone should have a roof over their head and be warm in winter. Everyone should have food and a table to put it on.”</w:t>
      </w:r>
    </w:p>
  </w:footnote>
  <w:footnote w:id="11">
    <w:p w:rsidR="003A486D" w:rsidRPr="00625C7A" w:rsidRDefault="003A486D" w:rsidP="005C6961">
      <w:pPr>
        <w:pStyle w:val="FootnoteText"/>
        <w:rPr>
          <w:lang w:val="en-NZ"/>
        </w:rPr>
      </w:pPr>
      <w:r>
        <w:rPr>
          <w:rStyle w:val="FootnoteReference"/>
        </w:rPr>
        <w:footnoteRef/>
      </w:r>
      <w:r>
        <w:t xml:space="preserve"> The </w:t>
      </w:r>
      <w:r w:rsidRPr="00625C7A">
        <w:t>Welfare Expert Advisory Group (WEAG)</w:t>
      </w:r>
      <w:r>
        <w:t xml:space="preserve"> is </w:t>
      </w:r>
      <w:r w:rsidRPr="00625C7A">
        <w:t xml:space="preserve">a group of experts </w:t>
      </w:r>
      <w:r>
        <w:t>who</w:t>
      </w:r>
      <w:r w:rsidRPr="00625C7A">
        <w:t xml:space="preserve"> advise the</w:t>
      </w:r>
      <w:r>
        <w:t xml:space="preserve"> Government</w:t>
      </w:r>
      <w:r w:rsidRPr="00625C7A">
        <w:t xml:space="preserve"> on the future of </w:t>
      </w:r>
      <w:r>
        <w:t>the</w:t>
      </w:r>
      <w:r w:rsidRPr="00625C7A">
        <w:t xml:space="preserve"> welfare system</w:t>
      </w:r>
      <w:r>
        <w:t>.</w:t>
      </w:r>
    </w:p>
  </w:footnote>
  <w:footnote w:id="12">
    <w:p w:rsidR="003A486D" w:rsidRPr="00EA452E" w:rsidRDefault="003A486D" w:rsidP="005C6961">
      <w:pPr>
        <w:pStyle w:val="FootnoteText"/>
        <w:rPr>
          <w:lang w:val="en-NZ"/>
        </w:rPr>
      </w:pPr>
      <w:r>
        <w:rPr>
          <w:rStyle w:val="FootnoteReference"/>
        </w:rPr>
        <w:footnoteRef/>
      </w:r>
      <w:r>
        <w:t xml:space="preserve"> </w:t>
      </w:r>
      <w:r w:rsidRPr="00EA452E">
        <w:t>Ministry of Health Disability Support Services ($210.628m); Ministry of Education Learning Support ($249.323m); Representation at the United Nations Committee on the Rights of Persons with Disabilities ($0.325m).</w:t>
      </w:r>
    </w:p>
  </w:footnote>
  <w:footnote w:id="13">
    <w:p w:rsidR="003A486D" w:rsidRPr="00A836B0" w:rsidRDefault="003A486D" w:rsidP="005C6961">
      <w:pPr>
        <w:pStyle w:val="FootnoteText"/>
        <w:rPr>
          <w:lang w:val="en-NZ"/>
        </w:rPr>
      </w:pPr>
      <w:r>
        <w:rPr>
          <w:rStyle w:val="FootnoteReference"/>
        </w:rPr>
        <w:footnoteRef/>
      </w:r>
      <w:r>
        <w:t xml:space="preserve"> </w:t>
      </w:r>
      <w:r>
        <w:rPr>
          <w:lang w:val="en-NZ"/>
        </w:rPr>
        <w:t xml:space="preserve">See </w:t>
      </w:r>
      <w:hyperlink r:id="rId6" w:history="1">
        <w:r w:rsidRPr="00985071">
          <w:rPr>
            <w:rStyle w:val="Hyperlink"/>
            <w:lang w:val="en-NZ"/>
          </w:rPr>
          <w:t>www.odi.govt.nz/</w:t>
        </w:r>
      </w:hyperlink>
      <w:r>
        <w:rPr>
          <w:lang w:val="en-NZ"/>
        </w:rPr>
        <w:t xml:space="preserve"> </w:t>
      </w:r>
    </w:p>
  </w:footnote>
  <w:footnote w:id="14">
    <w:p w:rsidR="003A486D" w:rsidRPr="00A836B0" w:rsidRDefault="003A486D" w:rsidP="005C6961">
      <w:pPr>
        <w:pStyle w:val="FootnoteText"/>
        <w:rPr>
          <w:lang w:val="en-NZ"/>
        </w:rPr>
      </w:pPr>
      <w:r>
        <w:rPr>
          <w:rStyle w:val="FootnoteReference"/>
        </w:rPr>
        <w:footnoteRef/>
      </w:r>
      <w:r>
        <w:t xml:space="preserve"> See </w:t>
      </w:r>
      <w:hyperlink r:id="rId7" w:history="1">
        <w:r w:rsidRPr="00985071">
          <w:rPr>
            <w:rStyle w:val="Hyperlink"/>
          </w:rPr>
          <w:t>www.odi.govt.nz/nzsl/</w:t>
        </w:r>
      </w:hyperlink>
      <w:r>
        <w:t xml:space="preserve"> </w:t>
      </w:r>
    </w:p>
  </w:footnote>
  <w:footnote w:id="15">
    <w:p w:rsidR="003A486D" w:rsidRPr="00A836B0" w:rsidRDefault="003A486D" w:rsidP="005C6961">
      <w:pPr>
        <w:pStyle w:val="FootnoteText"/>
        <w:rPr>
          <w:lang w:val="en-NZ"/>
        </w:rPr>
      </w:pPr>
      <w:r>
        <w:rPr>
          <w:rStyle w:val="FootnoteReference"/>
        </w:rPr>
        <w:footnoteRef/>
      </w:r>
      <w:r>
        <w:t xml:space="preserve"> </w:t>
      </w:r>
      <w:r>
        <w:rPr>
          <w:lang w:val="en-NZ"/>
        </w:rPr>
        <w:t xml:space="preserve">See </w:t>
      </w:r>
      <w:hyperlink r:id="rId8" w:history="1">
        <w:r w:rsidRPr="00985071">
          <w:rPr>
            <w:rStyle w:val="Hyperlink"/>
            <w:lang w:val="en-NZ"/>
          </w:rPr>
          <w:t>www.msd.govt.nz/about-msd-and-our-work/newsroom/2018/accessible-public-information.html</w:t>
        </w:r>
      </w:hyperlink>
      <w:r>
        <w:rPr>
          <w:lang w:val="en-NZ"/>
        </w:rPr>
        <w:t xml:space="preserve"> </w:t>
      </w:r>
    </w:p>
  </w:footnote>
  <w:footnote w:id="16">
    <w:p w:rsidR="003A486D" w:rsidRPr="00A836B0" w:rsidRDefault="003A486D" w:rsidP="005C6961">
      <w:pPr>
        <w:pStyle w:val="FootnoteText"/>
        <w:rPr>
          <w:lang w:val="en-NZ"/>
        </w:rPr>
      </w:pPr>
      <w:r>
        <w:rPr>
          <w:rStyle w:val="FootnoteReference"/>
        </w:rPr>
        <w:footnoteRef/>
      </w:r>
      <w:r>
        <w:t xml:space="preserve"> </w:t>
      </w:r>
      <w:r>
        <w:rPr>
          <w:lang w:val="en-NZ"/>
        </w:rPr>
        <w:t xml:space="preserve">See </w:t>
      </w:r>
      <w:hyperlink r:id="rId9" w:history="1">
        <w:r w:rsidRPr="00985071">
          <w:rPr>
            <w:rStyle w:val="Hyperlink"/>
            <w:lang w:val="en-NZ"/>
          </w:rPr>
          <w:t>www.building.govt.nz/building-code-compliance/d-access/accessible-buildings/</w:t>
        </w:r>
      </w:hyperlink>
      <w:r>
        <w:rPr>
          <w:lang w:val="en-NZ"/>
        </w:rPr>
        <w:t xml:space="preserve"> </w:t>
      </w:r>
    </w:p>
  </w:footnote>
  <w:footnote w:id="17">
    <w:p w:rsidR="003A486D" w:rsidRPr="00524DFA" w:rsidRDefault="003A486D" w:rsidP="005C6961">
      <w:pPr>
        <w:pStyle w:val="FootnoteText"/>
      </w:pPr>
      <w:r>
        <w:rPr>
          <w:rStyle w:val="FootnoteReference"/>
        </w:rPr>
        <w:footnoteRef/>
      </w:r>
      <w:r>
        <w:t xml:space="preserve"> See </w:t>
      </w:r>
      <w:hyperlink r:id="rId10" w:history="1">
        <w:r w:rsidRPr="00F10D1F">
          <w:rPr>
            <w:rStyle w:val="Hyperlink"/>
          </w:rPr>
          <w:t>www.washingtongroup-disability.com/</w:t>
        </w:r>
      </w:hyperlink>
      <w:r>
        <w:t xml:space="preserve"> </w:t>
      </w:r>
    </w:p>
  </w:footnote>
  <w:footnote w:id="18">
    <w:p w:rsidR="003A486D" w:rsidRPr="00771F4F" w:rsidRDefault="003A486D" w:rsidP="005C6961">
      <w:pPr>
        <w:pStyle w:val="FootnoteText"/>
        <w:rPr>
          <w:lang w:val="en-NZ"/>
        </w:rPr>
      </w:pPr>
      <w:r>
        <w:rPr>
          <w:rStyle w:val="FootnoteReference"/>
        </w:rPr>
        <w:footnoteRef/>
      </w:r>
      <w:r>
        <w:t xml:space="preserve"> </w:t>
      </w:r>
      <w:r w:rsidRPr="00771F4F">
        <w:t xml:space="preserve">The </w:t>
      </w:r>
      <w:r w:rsidRPr="00A836B0">
        <w:t xml:space="preserve">Washington Group Short Set of questions on disability </w:t>
      </w:r>
      <w:r w:rsidRPr="00771F4F">
        <w:t>were recently included in:</w:t>
      </w:r>
      <w:r>
        <w:t xml:space="preserve"> </w:t>
      </w:r>
      <w:r w:rsidRPr="00771F4F">
        <w:t xml:space="preserve">the 2018 Census of Population and Dwellings (this data is not yet available), NZ General Social Survey (See </w:t>
      </w:r>
      <w:hyperlink r:id="rId11" w:history="1">
        <w:r w:rsidRPr="00EF1D2C">
          <w:rPr>
            <w:rStyle w:val="Hyperlink"/>
          </w:rPr>
          <w:t>www.stats.govt.nz/information-releases/well-being-statistics-2016</w:t>
        </w:r>
      </w:hyperlink>
      <w:r>
        <w:t>,</w:t>
      </w:r>
      <w:r w:rsidRPr="00771F4F">
        <w:t xml:space="preserve">  in the 2016/17 survey year and every two years subsequent), the Household Labour Force Survey (See </w:t>
      </w:r>
      <w:hyperlink r:id="rId12" w:history="1">
        <w:r w:rsidRPr="00EF1D2C">
          <w:rPr>
            <w:rStyle w:val="Hyperlink"/>
          </w:rPr>
          <w:t>www.stats.govt.nz/information-releases/labour-market-statistics-june-2018-quarter</w:t>
        </w:r>
      </w:hyperlink>
      <w:r>
        <w:t xml:space="preserve">, </w:t>
      </w:r>
      <w:r w:rsidRPr="00771F4F">
        <w:t xml:space="preserve"> June quarters from 2017), NZ Health Survey</w:t>
      </w:r>
      <w:r>
        <w:t xml:space="preserve"> </w:t>
      </w:r>
      <w:r w:rsidRPr="00413BB8">
        <w:t>(in the field in 2018)</w:t>
      </w:r>
      <w:r w:rsidRPr="00771F4F">
        <w:t>, NZ Crime and Victimisation Survey (2019), Public Service Census (February 2019).</w:t>
      </w:r>
    </w:p>
  </w:footnote>
  <w:footnote w:id="19">
    <w:p w:rsidR="003A486D" w:rsidRPr="00105A50" w:rsidRDefault="003A486D" w:rsidP="005C6961">
      <w:pPr>
        <w:pStyle w:val="FootnoteText"/>
      </w:pPr>
      <w:r>
        <w:rPr>
          <w:rStyle w:val="FootnoteReference"/>
        </w:rPr>
        <w:footnoteRef/>
      </w:r>
      <w:r>
        <w:t xml:space="preserve"> </w:t>
      </w:r>
      <w:r w:rsidRPr="00650054">
        <w:t xml:space="preserve">The </w:t>
      </w:r>
      <w:r w:rsidRPr="00A836B0">
        <w:t xml:space="preserve">Washington Group Short Set of questions on disability </w:t>
      </w:r>
      <w:r w:rsidRPr="00650054">
        <w:t xml:space="preserve">are not designed to produce counts or rates of disabled people in New Zealand.  They are used, like other demographic characteristics </w:t>
      </w:r>
      <w:r>
        <w:t>including</w:t>
      </w:r>
      <w:r w:rsidRPr="00650054">
        <w:t xml:space="preserve"> sex and ethnic group, to allow the comparison of outcomes for different population sub-groups</w:t>
      </w:r>
    </w:p>
  </w:footnote>
  <w:footnote w:id="20">
    <w:p w:rsidR="003A486D" w:rsidRPr="00A836B0" w:rsidRDefault="003A486D" w:rsidP="005C6961">
      <w:pPr>
        <w:pStyle w:val="FootnoteText"/>
        <w:rPr>
          <w:lang w:val="en-NZ"/>
        </w:rPr>
      </w:pPr>
      <w:r w:rsidRPr="005F35B8">
        <w:rPr>
          <w:rStyle w:val="FootnoteReference"/>
        </w:rPr>
        <w:footnoteRef/>
      </w:r>
      <w:r w:rsidRPr="005F35B8">
        <w:t xml:space="preserve"> “</w:t>
      </w:r>
      <w:r>
        <w:t>O</w:t>
      </w:r>
      <w:r w:rsidRPr="005F35B8">
        <w:t xml:space="preserve">ranga mahi” </w:t>
      </w:r>
      <w:r>
        <w:t xml:space="preserve">is Te Reo </w:t>
      </w:r>
      <w:r w:rsidRPr="005F35B8">
        <w:t>mean</w:t>
      </w:r>
      <w:r>
        <w:t>ing</w:t>
      </w:r>
      <w:r w:rsidRPr="005F35B8">
        <w:t xml:space="preserve"> wellness through work</w:t>
      </w:r>
      <w:r>
        <w:t>.</w:t>
      </w:r>
    </w:p>
  </w:footnote>
  <w:footnote w:id="21">
    <w:p w:rsidR="003A486D" w:rsidRPr="00C52D9C" w:rsidRDefault="003A486D" w:rsidP="005C6961">
      <w:pPr>
        <w:pStyle w:val="FootnoteText"/>
        <w:rPr>
          <w:lang w:val="en-NZ"/>
        </w:rPr>
      </w:pPr>
      <w:r>
        <w:rPr>
          <w:rStyle w:val="FootnoteReference"/>
        </w:rPr>
        <w:footnoteRef/>
      </w:r>
      <w:r>
        <w:t xml:space="preserve"> </w:t>
      </w:r>
      <w:r>
        <w:rPr>
          <w:lang w:val="en-NZ"/>
        </w:rPr>
        <w:t xml:space="preserve">See: </w:t>
      </w:r>
      <w:hyperlink r:id="rId13" w:history="1">
        <w:r w:rsidRPr="00DE7658">
          <w:rPr>
            <w:rStyle w:val="Hyperlink"/>
            <w:lang w:val="en-NZ"/>
          </w:rPr>
          <w:t>www.msd.govt.nz/about-msd-and-our-work/publications-resources/corporate/annual-report/2016-2017/reducing-the-welfare-liability.html</w:t>
        </w:r>
      </w:hyperlink>
      <w:r>
        <w:rPr>
          <w:lang w:val="en-NZ"/>
        </w:rPr>
        <w:t xml:space="preserve"> </w:t>
      </w:r>
    </w:p>
  </w:footnote>
  <w:footnote w:id="22">
    <w:p w:rsidR="003A486D" w:rsidRPr="00322249" w:rsidRDefault="003A486D" w:rsidP="005C6961">
      <w:pPr>
        <w:pStyle w:val="FootnoteText"/>
        <w:rPr>
          <w:lang w:val="en-NZ"/>
        </w:rPr>
      </w:pPr>
      <w:r>
        <w:rPr>
          <w:rStyle w:val="FootnoteReference"/>
        </w:rPr>
        <w:footnoteRef/>
      </w:r>
      <w:r>
        <w:t xml:space="preserve"> </w:t>
      </w:r>
      <w:r w:rsidRPr="00322249">
        <w:t xml:space="preserve">The New Zealand Public Health and Disability Act 2000 created </w:t>
      </w:r>
      <w:r>
        <w:t>District Health Boards. District Health Boards</w:t>
      </w:r>
      <w:r w:rsidRPr="00322249">
        <w:t xml:space="preserve"> </w:t>
      </w:r>
      <w:r>
        <w:t xml:space="preserve">are responsible for providing or funding the provision of health services in their geographical district. </w:t>
      </w:r>
      <w:r w:rsidRPr="00322249">
        <w:t xml:space="preserve">There are currently 20 </w:t>
      </w:r>
      <w:r>
        <w:t>District Health Boards</w:t>
      </w:r>
      <w:r w:rsidRPr="00322249">
        <w:t xml:space="preserve"> in New Zealand.</w:t>
      </w:r>
      <w:r>
        <w:t xml:space="preserve"> Available at: </w:t>
      </w:r>
      <w:hyperlink r:id="rId14" w:history="1">
        <w:r w:rsidRPr="00F10D1F">
          <w:rPr>
            <w:rStyle w:val="Hyperlink"/>
          </w:rPr>
          <w:t>www.health.govt.nz/new-zealand-health-system/key-health-sector-organisations-and-people/district-health-boards</w:t>
        </w:r>
      </w:hyperlink>
      <w:r>
        <w:t xml:space="preserve">  </w:t>
      </w:r>
    </w:p>
  </w:footnote>
  <w:footnote w:id="23">
    <w:p w:rsidR="003A486D" w:rsidRPr="00507E45" w:rsidRDefault="003A486D" w:rsidP="005C6961">
      <w:pPr>
        <w:pStyle w:val="FootnoteText"/>
        <w:rPr>
          <w:lang w:val="en-NZ"/>
        </w:rPr>
      </w:pPr>
      <w:r>
        <w:rPr>
          <w:rStyle w:val="FootnoteReference"/>
        </w:rPr>
        <w:footnoteRef/>
      </w:r>
      <w:r>
        <w:t xml:space="preserve"> </w:t>
      </w:r>
      <w:r w:rsidRPr="00507E45">
        <w:t>Mana Whaikaha reflects people’s strength, mana (influence, dignity) and mauri (life essence)</w:t>
      </w:r>
      <w:r>
        <w:t xml:space="preserve">. </w:t>
      </w:r>
      <w:r w:rsidRPr="00507E45">
        <w:t>Whaikaha means to have strength, to have ability, to be otherly abled, and to be enabled.</w:t>
      </w:r>
      <w:r>
        <w:t xml:space="preserve"> See </w:t>
      </w:r>
      <w:hyperlink r:id="rId15" w:history="1">
        <w:r w:rsidRPr="00985071">
          <w:rPr>
            <w:rStyle w:val="Hyperlink"/>
          </w:rPr>
          <w:t>https://manawhaikaha.co.nz/about-us/mana-whaikaha-korero/</w:t>
        </w:r>
      </w:hyperlink>
      <w:r>
        <w:t xml:space="preserve"> </w:t>
      </w:r>
    </w:p>
  </w:footnote>
  <w:footnote w:id="24">
    <w:p w:rsidR="003A486D" w:rsidRPr="00744887" w:rsidRDefault="003A486D" w:rsidP="005C6961">
      <w:pPr>
        <w:pStyle w:val="FootnoteText"/>
        <w:rPr>
          <w:lang w:val="en-NZ"/>
        </w:rPr>
      </w:pPr>
      <w:r>
        <w:rPr>
          <w:rStyle w:val="FootnoteReference"/>
        </w:rPr>
        <w:footnoteRef/>
      </w:r>
      <w:r>
        <w:t xml:space="preserve"> </w:t>
      </w:r>
      <w:r>
        <w:rPr>
          <w:lang w:val="en-NZ"/>
        </w:rPr>
        <w:t xml:space="preserve">Connectors/Kaitūhono are the people in the transformed system who </w:t>
      </w:r>
      <w:r>
        <w:rPr>
          <w:szCs w:val="22"/>
        </w:rPr>
        <w:t>can</w:t>
      </w:r>
      <w:r w:rsidRPr="0005764C">
        <w:rPr>
          <w:szCs w:val="22"/>
        </w:rPr>
        <w:t xml:space="preserve"> walk alongside disabled people and </w:t>
      </w:r>
      <w:r>
        <w:rPr>
          <w:szCs w:val="22"/>
        </w:rPr>
        <w:t>family/</w:t>
      </w:r>
      <w:r w:rsidRPr="0005764C">
        <w:rPr>
          <w:szCs w:val="22"/>
        </w:rPr>
        <w:t>whānau</w:t>
      </w:r>
      <w:r>
        <w:rPr>
          <w:szCs w:val="22"/>
        </w:rPr>
        <w:t xml:space="preserve"> if they choose, </w:t>
      </w:r>
      <w:r w:rsidRPr="0005764C">
        <w:rPr>
          <w:szCs w:val="22"/>
        </w:rPr>
        <w:t xml:space="preserve">to help them </w:t>
      </w:r>
      <w:r w:rsidRPr="0005764C">
        <w:t>identify</w:t>
      </w:r>
      <w:r w:rsidRPr="0005764C">
        <w:rPr>
          <w:szCs w:val="22"/>
        </w:rPr>
        <w:t xml:space="preserve"> what they want in their lives, how to build th</w:t>
      </w:r>
      <w:r>
        <w:rPr>
          <w:szCs w:val="22"/>
        </w:rPr>
        <w:t>eir</w:t>
      </w:r>
      <w:r w:rsidRPr="0005764C">
        <w:rPr>
          <w:szCs w:val="22"/>
        </w:rPr>
        <w:t xml:space="preserve"> life, and the range of supports available to live th</w:t>
      </w:r>
      <w:r>
        <w:rPr>
          <w:szCs w:val="22"/>
        </w:rPr>
        <w:t>eir</w:t>
      </w:r>
      <w:r w:rsidRPr="0005764C">
        <w:rPr>
          <w:szCs w:val="22"/>
        </w:rPr>
        <w:t xml:space="preserve"> life</w:t>
      </w:r>
    </w:p>
  </w:footnote>
  <w:footnote w:id="25">
    <w:p w:rsidR="003A486D" w:rsidRPr="00507E45" w:rsidRDefault="003A486D" w:rsidP="005C6961">
      <w:pPr>
        <w:pStyle w:val="FootnoteText"/>
        <w:rPr>
          <w:lang w:val="en-NZ"/>
        </w:rPr>
      </w:pPr>
      <w:r>
        <w:rPr>
          <w:rStyle w:val="FootnoteReference"/>
        </w:rPr>
        <w:footnoteRef/>
      </w:r>
      <w:r>
        <w:t xml:space="preserve"> “Oranga Tamariki” is Te Reo meaning “the wellbeing of children”.</w:t>
      </w:r>
    </w:p>
  </w:footnote>
  <w:footnote w:id="26">
    <w:p w:rsidR="003A486D" w:rsidRPr="00F056B9" w:rsidRDefault="003A486D" w:rsidP="005C6961">
      <w:pPr>
        <w:pStyle w:val="FootnoteText"/>
        <w:rPr>
          <w:lang w:val="en-NZ"/>
        </w:rPr>
      </w:pPr>
      <w:r>
        <w:rPr>
          <w:rStyle w:val="FootnoteReference"/>
        </w:rPr>
        <w:footnoteRef/>
      </w:r>
      <w:r>
        <w:t xml:space="preserve"> </w:t>
      </w:r>
      <w:r>
        <w:rPr>
          <w:lang w:val="en-NZ"/>
        </w:rPr>
        <w:t xml:space="preserve">See </w:t>
      </w:r>
      <w:hyperlink r:id="rId16" w:history="1">
        <w:r w:rsidRPr="00EF1D2C">
          <w:rPr>
            <w:rStyle w:val="Hyperlink"/>
            <w:lang w:val="en-NZ"/>
          </w:rPr>
          <w:t>www.legislation.govt.nz/act/public/2018/0032/latest/whole.html</w:t>
        </w:r>
      </w:hyperlink>
      <w:r>
        <w:rPr>
          <w:lang w:val="en-NZ"/>
        </w:rPr>
        <w:t xml:space="preserve"> </w:t>
      </w:r>
    </w:p>
  </w:footnote>
  <w:footnote w:id="27">
    <w:p w:rsidR="003A486D" w:rsidRPr="0061093A" w:rsidRDefault="003A486D" w:rsidP="005C6961">
      <w:pPr>
        <w:pStyle w:val="FootnoteText"/>
        <w:rPr>
          <w:lang w:val="en-NZ"/>
        </w:rPr>
      </w:pPr>
      <w:r>
        <w:rPr>
          <w:rStyle w:val="FootnoteReference"/>
        </w:rPr>
        <w:footnoteRef/>
      </w:r>
      <w:r>
        <w:t xml:space="preserve"> </w:t>
      </w:r>
      <w:r>
        <w:rPr>
          <w:lang w:val="en-NZ"/>
        </w:rPr>
        <w:t xml:space="preserve">See </w:t>
      </w:r>
      <w:hyperlink r:id="rId17" w:history="1">
        <w:r w:rsidRPr="00EF1D2C">
          <w:rPr>
            <w:rStyle w:val="Hyperlink"/>
            <w:lang w:val="en-NZ"/>
          </w:rPr>
          <w:t>http://legislation.govt.nz/act/public/2000/0091/72.0/DLM80051.html</w:t>
        </w:r>
      </w:hyperlink>
      <w:r>
        <w:rPr>
          <w:lang w:val="en-NZ"/>
        </w:rPr>
        <w:t xml:space="preserve"> </w:t>
      </w:r>
    </w:p>
  </w:footnote>
  <w:footnote w:id="28">
    <w:p w:rsidR="003A486D" w:rsidRPr="00C46F0F" w:rsidRDefault="003A486D" w:rsidP="005C6961">
      <w:pPr>
        <w:pStyle w:val="FootnoteText"/>
        <w:rPr>
          <w:lang w:val="en-US"/>
        </w:rPr>
      </w:pPr>
      <w:r>
        <w:rPr>
          <w:rStyle w:val="FootnoteReference"/>
        </w:rPr>
        <w:footnoteRef/>
      </w:r>
      <w:r>
        <w:t xml:space="preserve"> See </w:t>
      </w:r>
      <w:hyperlink r:id="rId18" w:history="1">
        <w:r w:rsidRPr="00F10D1F">
          <w:rPr>
            <w:rStyle w:val="Hyperlink"/>
          </w:rPr>
          <w:t>www.odi.govt.nz/nz-disability-strategy/disability-action-plan/</w:t>
        </w:r>
      </w:hyperlink>
      <w:r>
        <w:t xml:space="preserve"> </w:t>
      </w:r>
    </w:p>
  </w:footnote>
  <w:footnote w:id="29">
    <w:p w:rsidR="003A486D" w:rsidRPr="00C46F0F" w:rsidRDefault="003A486D" w:rsidP="005C6961">
      <w:pPr>
        <w:pStyle w:val="FootnoteText"/>
        <w:rPr>
          <w:lang w:val="en-US"/>
        </w:rPr>
      </w:pPr>
      <w:r>
        <w:rPr>
          <w:rStyle w:val="FootnoteReference"/>
        </w:rPr>
        <w:footnoteRef/>
      </w:r>
      <w:r>
        <w:t xml:space="preserve"> Action 9(f) refers. See: </w:t>
      </w:r>
      <w:hyperlink r:id="rId19" w:history="1">
        <w:r w:rsidRPr="00761578">
          <w:rPr>
            <w:rStyle w:val="Hyperlink"/>
          </w:rPr>
          <w:t>www.odi.govt.nz/nz-disability-strategy/outcome-8-leadership</w:t>
        </w:r>
      </w:hyperlink>
      <w:r>
        <w:t xml:space="preserve"> </w:t>
      </w:r>
    </w:p>
  </w:footnote>
  <w:footnote w:id="30">
    <w:p w:rsidR="003A486D" w:rsidRPr="00CC4B32" w:rsidRDefault="003A486D" w:rsidP="005C6961">
      <w:pPr>
        <w:pStyle w:val="FootnoteText"/>
        <w:rPr>
          <w:lang w:val="en-NZ"/>
        </w:rPr>
      </w:pPr>
      <w:r>
        <w:rPr>
          <w:rStyle w:val="FootnoteReference"/>
        </w:rPr>
        <w:footnoteRef/>
      </w:r>
      <w:r>
        <w:t xml:space="preserve"> The six key issues are : </w:t>
      </w:r>
      <w:r w:rsidRPr="00797716">
        <w:t>data, education, employment, access to information, seclusion and restraint and housing</w:t>
      </w:r>
      <w:r>
        <w:t xml:space="preserve">. These issues were </w:t>
      </w:r>
      <w:r w:rsidRPr="00CC4B32">
        <w:t>identified by the Independent Monitoring Mechanism in their report to the Committee (November 2017)</w:t>
      </w:r>
      <w:r>
        <w:t xml:space="preserve"> </w:t>
      </w:r>
      <w:hyperlink r:id="rId20" w:history="1">
        <w:r w:rsidRPr="00993690">
          <w:rPr>
            <w:rStyle w:val="Hyperlink"/>
          </w:rPr>
          <w:t>www.hrc.co.nz/your-rights/people-disabilities/our-work/making-disability-rights-real/</w:t>
        </w:r>
      </w:hyperlink>
    </w:p>
  </w:footnote>
  <w:footnote w:id="31">
    <w:p w:rsidR="003A486D" w:rsidRPr="00C46F0F" w:rsidRDefault="003A486D" w:rsidP="005C6961">
      <w:pPr>
        <w:pStyle w:val="FootnoteText"/>
        <w:rPr>
          <w:lang w:val="en-US"/>
        </w:rPr>
      </w:pPr>
      <w:r>
        <w:rPr>
          <w:rStyle w:val="FootnoteReference"/>
        </w:rPr>
        <w:footnoteRef/>
      </w:r>
      <w:r>
        <w:t xml:space="preserve"> See </w:t>
      </w:r>
      <w:hyperlink r:id="rId21" w:history="1">
        <w:r w:rsidRPr="00F10D1F">
          <w:rPr>
            <w:rStyle w:val="Hyperlink"/>
          </w:rPr>
          <w:t>www.odi.govt.nz/nz-disability-strategy/about-the-strategy/new-zealand-disability-strategy-2016-2026/</w:t>
        </w:r>
      </w:hyperlink>
      <w:r>
        <w:t xml:space="preserve"> </w:t>
      </w:r>
    </w:p>
  </w:footnote>
  <w:footnote w:id="32">
    <w:p w:rsidR="003A486D" w:rsidRPr="00BD284F" w:rsidRDefault="003A486D" w:rsidP="005C6961">
      <w:pPr>
        <w:pStyle w:val="FootnoteText"/>
        <w:rPr>
          <w:lang w:val="en-NZ"/>
        </w:rPr>
      </w:pPr>
      <w:r>
        <w:rPr>
          <w:rStyle w:val="FootnoteReference"/>
        </w:rPr>
        <w:footnoteRef/>
      </w:r>
      <w:r>
        <w:t xml:space="preserve"> </w:t>
      </w:r>
      <w:r>
        <w:rPr>
          <w:lang w:val="en-NZ"/>
        </w:rPr>
        <w:t>The New Zealand Disability Strategy Revision Reference Group and the DPO Coalition</w:t>
      </w:r>
    </w:p>
  </w:footnote>
  <w:footnote w:id="33">
    <w:p w:rsidR="003A486D" w:rsidRDefault="003A486D" w:rsidP="005C6961">
      <w:pPr>
        <w:pStyle w:val="FootnoteText"/>
      </w:pPr>
      <w:r>
        <w:rPr>
          <w:rStyle w:val="FootnoteReference"/>
        </w:rPr>
        <w:footnoteRef/>
      </w:r>
      <w:r>
        <w:t xml:space="preserve"> See </w:t>
      </w:r>
      <w:hyperlink r:id="rId22" w:history="1">
        <w:r w:rsidRPr="00F10D1F">
          <w:rPr>
            <w:rStyle w:val="Hyperlink"/>
          </w:rPr>
          <w:t>www.odi.govt.nz/nz-disability-strategy/about-the-strategy/new-zealand-disability-strategy-2016-2026/2016-revision-of-the-strategy/new-zealand-disability-strategy-revision-reference-group/</w:t>
        </w:r>
      </w:hyperlink>
      <w:r>
        <w:t xml:space="preserve">  </w:t>
      </w:r>
    </w:p>
  </w:footnote>
  <w:footnote w:id="34">
    <w:p w:rsidR="003A486D" w:rsidRPr="00027302" w:rsidRDefault="003A486D" w:rsidP="005C6961">
      <w:pPr>
        <w:pStyle w:val="FootnoteText"/>
        <w:rPr>
          <w:lang w:val="en-NZ"/>
        </w:rPr>
      </w:pPr>
      <w:r>
        <w:rPr>
          <w:rStyle w:val="FootnoteReference"/>
        </w:rPr>
        <w:footnoteRef/>
      </w:r>
      <w:r>
        <w:t xml:space="preserve"> See: </w:t>
      </w:r>
      <w:hyperlink r:id="rId23" w:history="1">
        <w:r w:rsidRPr="00D46FCB">
          <w:rPr>
            <w:rStyle w:val="Hyperlink"/>
          </w:rPr>
          <w:t>www.odi.govt.nz/united-nations-convention-on-the-rights-of-persons-with-disabilities/nzs-monitoring-framework/report-on-the-review-of-disabled-people-led-monitoring/</w:t>
        </w:r>
      </w:hyperlink>
      <w:r>
        <w:t xml:space="preserve"> </w:t>
      </w:r>
    </w:p>
  </w:footnote>
  <w:footnote w:id="35">
    <w:p w:rsidR="003A486D" w:rsidRPr="00507E45" w:rsidRDefault="003A486D" w:rsidP="005C6961">
      <w:pPr>
        <w:pStyle w:val="FootnoteText"/>
        <w:rPr>
          <w:lang w:val="en-NZ"/>
        </w:rPr>
      </w:pPr>
      <w:r>
        <w:rPr>
          <w:rStyle w:val="FootnoteReference"/>
        </w:rPr>
        <w:footnoteRef/>
      </w:r>
      <w:r>
        <w:t xml:space="preserve"> </w:t>
      </w:r>
      <w:r>
        <w:rPr>
          <w:lang w:val="en-NZ"/>
        </w:rPr>
        <w:t xml:space="preserve">See </w:t>
      </w:r>
      <w:hyperlink r:id="rId24" w:history="1">
        <w:r w:rsidRPr="00985071">
          <w:rPr>
            <w:rStyle w:val="Hyperlink"/>
            <w:lang w:val="en-NZ"/>
          </w:rPr>
          <w:t>http://www.donaldbeasley.org.nz/</w:t>
        </w:r>
      </w:hyperlink>
      <w:r>
        <w:rPr>
          <w:lang w:val="en-NZ"/>
        </w:rPr>
        <w:t xml:space="preserve"> </w:t>
      </w:r>
    </w:p>
  </w:footnote>
  <w:footnote w:id="36">
    <w:p w:rsidR="003A486D" w:rsidRPr="00C46F0F" w:rsidRDefault="003A486D" w:rsidP="005C6961">
      <w:pPr>
        <w:pStyle w:val="FootnoteText"/>
        <w:rPr>
          <w:lang w:val="en-US"/>
        </w:rPr>
      </w:pPr>
      <w:r>
        <w:rPr>
          <w:rStyle w:val="FootnoteReference"/>
        </w:rPr>
        <w:footnoteRef/>
      </w:r>
      <w:r>
        <w:t xml:space="preserve"> I</w:t>
      </w:r>
      <w:r w:rsidRPr="00737B39">
        <w:t>ncluding but not limited to employment matters, provision of goods and services, and access to public places and facilities</w:t>
      </w:r>
      <w:r>
        <w:t>.</w:t>
      </w:r>
    </w:p>
  </w:footnote>
  <w:footnote w:id="37">
    <w:p w:rsidR="003A486D" w:rsidRPr="000239B1" w:rsidRDefault="003A486D" w:rsidP="005C6961">
      <w:pPr>
        <w:pStyle w:val="FootnoteText"/>
        <w:rPr>
          <w:lang w:val="en-NZ"/>
        </w:rPr>
      </w:pPr>
      <w:r>
        <w:rPr>
          <w:rStyle w:val="FootnoteReference"/>
        </w:rPr>
        <w:footnoteRef/>
      </w:r>
      <w:r>
        <w:t xml:space="preserve"> In the Act, disability is defined as: physical disability or impairment, physical illness, psychiatric illness, intellectual or psychological disability or impairment, any other loss or abnormality of psychological, physiological, or anatomical structure or function, reliance on a guide dog, wheelchair, or other remedial means, and the presence in the body of organisms capable of causing illness.</w:t>
      </w:r>
    </w:p>
  </w:footnote>
  <w:footnote w:id="38">
    <w:p w:rsidR="003A486D" w:rsidRDefault="003A486D" w:rsidP="005C6961">
      <w:pPr>
        <w:pStyle w:val="FootnoteText"/>
      </w:pPr>
    </w:p>
  </w:footnote>
  <w:footnote w:id="39">
    <w:p w:rsidR="003A486D" w:rsidRDefault="003A486D" w:rsidP="005C6961">
      <w:pPr>
        <w:pStyle w:val="FootnoteText"/>
      </w:pPr>
      <w:r>
        <w:rPr>
          <w:rStyle w:val="FootnoteReference"/>
        </w:rPr>
        <w:footnoteRef/>
      </w:r>
      <w:r>
        <w:t xml:space="preserve"> </w:t>
      </w:r>
      <w:r w:rsidRPr="00897F56">
        <w:rPr>
          <w:i/>
        </w:rPr>
        <w:t>Smith v Air New Zealand Limited</w:t>
      </w:r>
      <w:r w:rsidRPr="00705A01">
        <w:t xml:space="preserve"> [2011] NZCA 20</w:t>
      </w:r>
    </w:p>
  </w:footnote>
  <w:footnote w:id="40">
    <w:p w:rsidR="003A486D" w:rsidRPr="00972A92" w:rsidRDefault="003A486D" w:rsidP="005C6961">
      <w:pPr>
        <w:pStyle w:val="FootnoteText"/>
        <w:rPr>
          <w:lang w:val="en-NZ"/>
        </w:rPr>
      </w:pPr>
      <w:r>
        <w:rPr>
          <w:rStyle w:val="FootnoteReference"/>
        </w:rPr>
        <w:footnoteRef/>
      </w:r>
      <w:r>
        <w:t xml:space="preserve"> </w:t>
      </w:r>
      <w:r>
        <w:rPr>
          <w:lang w:val="en-NZ"/>
        </w:rPr>
        <w:t xml:space="preserve">Guidelines on reasonable accommodations include: the Independent Monitoring Mechanism’s “Reasonable accommodation guide focussing on persons with disabilities”, and Government guidelines for employers and employees which are available from </w:t>
      </w:r>
      <w:r w:rsidRPr="00237D85">
        <w:t>the Ministry of Bu</w:t>
      </w:r>
      <w:r>
        <w:t>siness Innovation and Employment</w:t>
      </w:r>
      <w:r w:rsidRPr="00237D85">
        <w:t>, the Office for Disability Issues and the Ministry of Social Development</w:t>
      </w:r>
      <w:r>
        <w:t>’s websites.</w:t>
      </w:r>
    </w:p>
  </w:footnote>
  <w:footnote w:id="41">
    <w:p w:rsidR="003A486D" w:rsidRPr="00A429DD" w:rsidRDefault="003A486D" w:rsidP="005C6961">
      <w:pPr>
        <w:pStyle w:val="FootnoteText"/>
        <w:rPr>
          <w:lang w:val="en-NZ"/>
        </w:rPr>
      </w:pPr>
      <w:r>
        <w:rPr>
          <w:rStyle w:val="FootnoteReference"/>
        </w:rPr>
        <w:footnoteRef/>
      </w:r>
      <w:r>
        <w:t xml:space="preserve"> </w:t>
      </w:r>
      <w:r w:rsidRPr="00A429DD">
        <w:t xml:space="preserve">The outcome of that engagement is available on the Ministry of Health’s website </w:t>
      </w:r>
      <w:r>
        <w:t>(</w:t>
      </w:r>
      <w:hyperlink r:id="rId25" w:history="1">
        <w:r w:rsidRPr="00EF1D2C">
          <w:rPr>
            <w:rStyle w:val="Hyperlink"/>
          </w:rPr>
          <w:t>www.health.govt.nz/publication/targeted-engagement-funded-family-care-and-paid-family-care</w:t>
        </w:r>
      </w:hyperlink>
      <w:r>
        <w:t xml:space="preserve"> </w:t>
      </w:r>
      <w:r w:rsidRPr="00A429DD">
        <w:t>) and  opportunities for further engagement, including with Māori and Pasifika are being considered by the Ministry for early 2019.</w:t>
      </w:r>
    </w:p>
  </w:footnote>
  <w:footnote w:id="42">
    <w:p w:rsidR="003A486D" w:rsidRPr="00C46F0F" w:rsidRDefault="003A486D" w:rsidP="005C6961">
      <w:pPr>
        <w:pStyle w:val="FootnoteText"/>
        <w:rPr>
          <w:lang w:val="en-US"/>
        </w:rPr>
      </w:pPr>
      <w:r>
        <w:rPr>
          <w:rStyle w:val="FootnoteReference"/>
        </w:rPr>
        <w:footnoteRef/>
      </w:r>
      <w:r>
        <w:t xml:space="preserve"> S</w:t>
      </w:r>
      <w:r w:rsidRPr="00737B39">
        <w:t xml:space="preserve">ee </w:t>
      </w:r>
      <w:hyperlink r:id="rId26" w:history="1">
        <w:r w:rsidRPr="00F10D1F">
          <w:rPr>
            <w:rStyle w:val="Hyperlink"/>
          </w:rPr>
          <w:t>www.health.govt.nz/publication/evaluation-funded-family-care</w:t>
        </w:r>
      </w:hyperlink>
      <w:r>
        <w:t xml:space="preserve"> </w:t>
      </w:r>
    </w:p>
  </w:footnote>
  <w:footnote w:id="43">
    <w:p w:rsidR="003A486D" w:rsidRPr="00C46F0F" w:rsidRDefault="003A486D" w:rsidP="005C6961">
      <w:pPr>
        <w:pStyle w:val="FootnoteText"/>
        <w:rPr>
          <w:lang w:val="en-US"/>
        </w:rPr>
      </w:pPr>
      <w:r>
        <w:rPr>
          <w:rStyle w:val="FootnoteReference"/>
        </w:rPr>
        <w:footnoteRef/>
      </w:r>
      <w:r>
        <w:t xml:space="preserve"> </w:t>
      </w:r>
      <w:r w:rsidRPr="00737B39">
        <w:t xml:space="preserve">There </w:t>
      </w:r>
      <w:r>
        <w:t>were</w:t>
      </w:r>
      <w:r w:rsidRPr="00737B39">
        <w:t xml:space="preserve"> 13 claims for compensation for non-payment of family carers before October 2013. Those claims </w:t>
      </w:r>
      <w:r>
        <w:t>we</w:t>
      </w:r>
      <w:r w:rsidRPr="00737B39">
        <w:t xml:space="preserve">re amalgamated into one set of proceedings </w:t>
      </w:r>
      <w:r>
        <w:t xml:space="preserve">which were </w:t>
      </w:r>
      <w:r w:rsidRPr="00737B39">
        <w:t>due for hearing in February 2019</w:t>
      </w:r>
      <w:r>
        <w:t>, before being discontinued</w:t>
      </w:r>
      <w:r w:rsidRPr="00737B39">
        <w:t>.</w:t>
      </w:r>
    </w:p>
  </w:footnote>
  <w:footnote w:id="44">
    <w:p w:rsidR="003A486D" w:rsidRPr="00CB6C9C" w:rsidRDefault="003A486D" w:rsidP="005C6961">
      <w:pPr>
        <w:pStyle w:val="FootnoteText"/>
        <w:rPr>
          <w:lang w:val="en-NZ"/>
        </w:rPr>
      </w:pPr>
      <w:r>
        <w:rPr>
          <w:rStyle w:val="FootnoteReference"/>
        </w:rPr>
        <w:footnoteRef/>
      </w:r>
      <w:r>
        <w:t xml:space="preserve"> </w:t>
      </w:r>
      <w:r>
        <w:rPr>
          <w:lang w:val="en-NZ"/>
        </w:rPr>
        <w:t xml:space="preserve">See </w:t>
      </w:r>
      <w:r w:rsidRPr="00CB6C9C">
        <w:t>the Child Poverty Act 2018 and amendments to the Children’s Act 2014</w:t>
      </w:r>
      <w:r>
        <w:t xml:space="preserve">. </w:t>
      </w:r>
    </w:p>
  </w:footnote>
  <w:footnote w:id="45">
    <w:p w:rsidR="003A486D" w:rsidRDefault="003A486D" w:rsidP="005C6961">
      <w:pPr>
        <w:pStyle w:val="FootnoteText"/>
      </w:pPr>
      <w:r>
        <w:rPr>
          <w:rStyle w:val="FootnoteReference"/>
        </w:rPr>
        <w:footnoteRef/>
      </w:r>
      <w:r>
        <w:t xml:space="preserve"> “</w:t>
      </w:r>
      <w:r w:rsidRPr="005260F5">
        <w:t>Whān</w:t>
      </w:r>
      <w:r>
        <w:t xml:space="preserve">au” is the Te Reo word for </w:t>
      </w:r>
      <w:r>
        <w:rPr>
          <w:szCs w:val="18"/>
        </w:rPr>
        <w:t>“</w:t>
      </w:r>
      <w:r w:rsidRPr="00DF63A7">
        <w:rPr>
          <w:szCs w:val="18"/>
        </w:rPr>
        <w:t>extended family, family group, a familiar term of address to a number of people - the primary economic unit of traditional Māori society. In the modern context the term is sometimes used to include friends who may not have any kinship ties to other members.</w:t>
      </w:r>
      <w:r>
        <w:rPr>
          <w:szCs w:val="18"/>
        </w:rPr>
        <w:t>”</w:t>
      </w:r>
    </w:p>
    <w:p w:rsidR="003A486D" w:rsidRPr="00610FD9" w:rsidRDefault="003A486D" w:rsidP="005C6961">
      <w:pPr>
        <w:pStyle w:val="FootnoteText"/>
        <w:rPr>
          <w:lang w:val="en-NZ"/>
        </w:rPr>
      </w:pPr>
      <w:r>
        <w:t>“Ora” is the Te Reo word for “</w:t>
      </w:r>
      <w:r w:rsidRPr="00610FD9">
        <w:t>to be alive, well, safe, cured, recovered, healthy, fit, healed</w:t>
      </w:r>
      <w:r>
        <w:t>”</w:t>
      </w:r>
      <w:r w:rsidRPr="00610FD9">
        <w:t>.</w:t>
      </w:r>
      <w:r>
        <w:rPr>
          <w:lang w:val="en-NZ"/>
        </w:rPr>
        <w:t xml:space="preserve"> See: </w:t>
      </w:r>
      <w:hyperlink r:id="rId27" w:history="1">
        <w:r w:rsidRPr="00761578">
          <w:rPr>
            <w:rStyle w:val="Hyperlink"/>
            <w:lang w:val="en-NZ"/>
          </w:rPr>
          <w:t>www.tpk.govt.nz/en/whakamahia/whanau-ora</w:t>
        </w:r>
      </w:hyperlink>
      <w:r>
        <w:rPr>
          <w:lang w:val="en-NZ"/>
        </w:rPr>
        <w:t xml:space="preserve"> </w:t>
      </w:r>
    </w:p>
  </w:footnote>
  <w:footnote w:id="46">
    <w:p w:rsidR="003A486D" w:rsidRPr="003955E1" w:rsidRDefault="003A486D" w:rsidP="005C6961">
      <w:pPr>
        <w:pStyle w:val="FootnoteText"/>
        <w:rPr>
          <w:lang w:val="en-NZ"/>
        </w:rPr>
      </w:pPr>
      <w:r>
        <w:rPr>
          <w:rStyle w:val="FootnoteReference"/>
        </w:rPr>
        <w:footnoteRef/>
      </w:r>
      <w:r>
        <w:t xml:space="preserve"> </w:t>
      </w:r>
      <w:r>
        <w:rPr>
          <w:lang w:val="en-NZ"/>
        </w:rPr>
        <w:t xml:space="preserve">See </w:t>
      </w:r>
      <w:hyperlink r:id="rId28" w:history="1">
        <w:r w:rsidRPr="00761578">
          <w:rPr>
            <w:rStyle w:val="Hyperlink"/>
            <w:lang w:val="en-NZ"/>
          </w:rPr>
          <w:t>www.education.govt.nz/early-childhood/teaching-and-learning/learning-tools-and-resources/early-intervention/</w:t>
        </w:r>
      </w:hyperlink>
      <w:r>
        <w:rPr>
          <w:lang w:val="en-NZ"/>
        </w:rPr>
        <w:t xml:space="preserve"> </w:t>
      </w:r>
    </w:p>
  </w:footnote>
  <w:footnote w:id="47">
    <w:p w:rsidR="003A486D" w:rsidRPr="003955E1" w:rsidRDefault="003A486D" w:rsidP="005C6961">
      <w:pPr>
        <w:pStyle w:val="FootnoteText"/>
        <w:rPr>
          <w:lang w:val="en-NZ"/>
        </w:rPr>
      </w:pPr>
      <w:r>
        <w:rPr>
          <w:rStyle w:val="FootnoteReference"/>
        </w:rPr>
        <w:footnoteRef/>
      </w:r>
      <w:r>
        <w:t xml:space="preserve"> </w:t>
      </w:r>
      <w:r>
        <w:rPr>
          <w:lang w:val="en-NZ"/>
        </w:rPr>
        <w:t xml:space="preserve">See </w:t>
      </w:r>
      <w:hyperlink r:id="rId29" w:history="1">
        <w:r w:rsidRPr="00761578">
          <w:rPr>
            <w:rStyle w:val="Hyperlink"/>
            <w:lang w:val="en-NZ"/>
          </w:rPr>
          <w:t>www.health.govt.nz/our-work/life-stages/child-health/b4-school-check</w:t>
        </w:r>
      </w:hyperlink>
      <w:r>
        <w:rPr>
          <w:lang w:val="en-NZ"/>
        </w:rPr>
        <w:t xml:space="preserve"> </w:t>
      </w:r>
    </w:p>
  </w:footnote>
  <w:footnote w:id="48">
    <w:p w:rsidR="003A486D" w:rsidRPr="00D247C6" w:rsidRDefault="003A486D" w:rsidP="005C6961">
      <w:pPr>
        <w:pStyle w:val="FootnoteText"/>
        <w:rPr>
          <w:lang w:val="en-NZ"/>
        </w:rPr>
      </w:pPr>
      <w:r>
        <w:rPr>
          <w:rStyle w:val="FootnoteReference"/>
        </w:rPr>
        <w:footnoteRef/>
      </w:r>
      <w:r>
        <w:t xml:space="preserve"> </w:t>
      </w:r>
      <w:r>
        <w:rPr>
          <w:lang w:val="en-NZ"/>
        </w:rPr>
        <w:t xml:space="preserve">See </w:t>
      </w:r>
      <w:hyperlink r:id="rId30" w:history="1">
        <w:r w:rsidRPr="00761578">
          <w:rPr>
            <w:rStyle w:val="Hyperlink"/>
            <w:lang w:val="en-NZ"/>
          </w:rPr>
          <w:t>www.education.govt.nz/school/student-support/special-education/day-special-schools-for-students-with-high-needs/</w:t>
        </w:r>
      </w:hyperlink>
      <w:r>
        <w:rPr>
          <w:lang w:val="en-NZ"/>
        </w:rPr>
        <w:t xml:space="preserve"> </w:t>
      </w:r>
    </w:p>
  </w:footnote>
  <w:footnote w:id="49">
    <w:p w:rsidR="003A486D" w:rsidRPr="00D247C6" w:rsidRDefault="003A486D" w:rsidP="005C6961">
      <w:pPr>
        <w:pStyle w:val="FootnoteText"/>
        <w:rPr>
          <w:lang w:val="en-NZ"/>
        </w:rPr>
      </w:pPr>
      <w:r>
        <w:rPr>
          <w:rStyle w:val="FootnoteReference"/>
        </w:rPr>
        <w:footnoteRef/>
      </w:r>
      <w:r>
        <w:t xml:space="preserve"> </w:t>
      </w:r>
      <w:r>
        <w:rPr>
          <w:lang w:val="en-NZ"/>
        </w:rPr>
        <w:t xml:space="preserve">See </w:t>
      </w:r>
      <w:hyperlink r:id="rId31" w:history="1">
        <w:r w:rsidRPr="00F10D1F">
          <w:rPr>
            <w:rStyle w:val="Hyperlink"/>
            <w:lang w:val="en-NZ"/>
          </w:rPr>
          <w:t>https://education.govt.nz/school/student-support/special-education/intensive-wraparound-service-iws/</w:t>
        </w:r>
      </w:hyperlink>
      <w:r>
        <w:rPr>
          <w:lang w:val="en-NZ"/>
        </w:rPr>
        <w:t xml:space="preserve">  </w:t>
      </w:r>
    </w:p>
  </w:footnote>
  <w:footnote w:id="50">
    <w:p w:rsidR="003A486D" w:rsidRPr="00C46808" w:rsidRDefault="003A486D" w:rsidP="005C6961">
      <w:pPr>
        <w:pStyle w:val="FootnoteText"/>
        <w:rPr>
          <w:lang w:val="en-NZ"/>
        </w:rPr>
      </w:pPr>
      <w:r>
        <w:rPr>
          <w:rStyle w:val="FootnoteReference"/>
        </w:rPr>
        <w:footnoteRef/>
      </w:r>
      <w:r>
        <w:t xml:space="preserve"> See </w:t>
      </w:r>
      <w:hyperlink r:id="rId32" w:history="1">
        <w:r w:rsidRPr="00F10D1F">
          <w:rPr>
            <w:rStyle w:val="Hyperlink"/>
          </w:rPr>
          <w:t>http://inclusive.tki.org.nz/guides</w:t>
        </w:r>
      </w:hyperlink>
      <w:r>
        <w:rPr>
          <w:color w:val="1F497D"/>
        </w:rPr>
        <w:t xml:space="preserve"> </w:t>
      </w:r>
    </w:p>
  </w:footnote>
  <w:footnote w:id="51">
    <w:p w:rsidR="003A486D" w:rsidRPr="00BD284F" w:rsidRDefault="003A486D" w:rsidP="005C6961">
      <w:pPr>
        <w:pStyle w:val="FootnoteText"/>
        <w:rPr>
          <w:lang w:val="en-NZ"/>
        </w:rPr>
      </w:pPr>
      <w:r>
        <w:rPr>
          <w:rStyle w:val="FootnoteReference"/>
        </w:rPr>
        <w:footnoteRef/>
      </w:r>
      <w:r>
        <w:t xml:space="preserve"> This survey </w:t>
      </w:r>
      <w:r w:rsidRPr="004F55DD">
        <w:t>provides the most comprehensive current data on disabled women</w:t>
      </w:r>
      <w:r>
        <w:t>.</w:t>
      </w:r>
      <w:r w:rsidRPr="004F55DD">
        <w:t xml:space="preserve"> </w:t>
      </w:r>
      <w:r>
        <w:t xml:space="preserve">See </w:t>
      </w:r>
      <w:hyperlink r:id="rId33" w:history="1">
        <w:r w:rsidRPr="00F10D1F">
          <w:rPr>
            <w:rStyle w:val="Hyperlink"/>
          </w:rPr>
          <w:t>www.stats.govt.nz/information-releases/disability-survey-2013</w:t>
        </w:r>
      </w:hyperlink>
      <w:r>
        <w:t xml:space="preserve">  </w:t>
      </w:r>
    </w:p>
  </w:footnote>
  <w:footnote w:id="52">
    <w:p w:rsidR="003A486D" w:rsidRPr="00BA5F3C" w:rsidRDefault="003A486D" w:rsidP="005C6961">
      <w:pPr>
        <w:pStyle w:val="FootnoteText"/>
        <w:rPr>
          <w:lang w:val="en-NZ"/>
        </w:rPr>
      </w:pPr>
      <w:r>
        <w:rPr>
          <w:rStyle w:val="FootnoteReference"/>
        </w:rPr>
        <w:footnoteRef/>
      </w:r>
      <w:r>
        <w:t xml:space="preserve"> </w:t>
      </w:r>
      <w:r w:rsidRPr="00BA5F3C">
        <w:rPr>
          <w:lang w:val="en-NZ"/>
        </w:rPr>
        <w:t>The Sexual Violence Prevention Advisory Board (the Advisory Board) comprises officials from agencies involved in the funding, management and delivery of sexual violence prevention activities, as well as sector representatives, and independent representatives from key population groups.</w:t>
      </w:r>
    </w:p>
  </w:footnote>
  <w:footnote w:id="53">
    <w:p w:rsidR="003A486D" w:rsidRPr="00532D67" w:rsidRDefault="003A486D" w:rsidP="005C6961">
      <w:pPr>
        <w:pStyle w:val="FootnoteText"/>
        <w:rPr>
          <w:lang w:val="en-NZ"/>
        </w:rPr>
      </w:pPr>
      <w:r>
        <w:rPr>
          <w:rStyle w:val="FootnoteReference"/>
        </w:rPr>
        <w:footnoteRef/>
      </w:r>
      <w:r>
        <w:t xml:space="preserve"> </w:t>
      </w:r>
      <w:r>
        <w:rPr>
          <w:lang w:val="en-NZ"/>
        </w:rPr>
        <w:t xml:space="preserve">See </w:t>
      </w:r>
      <w:hyperlink r:id="rId34" w:history="1">
        <w:r w:rsidRPr="00A61565">
          <w:rPr>
            <w:rStyle w:val="Hyperlink"/>
            <w:lang w:val="en-NZ"/>
          </w:rPr>
          <w:t>http://www.areyouok.org.nz/assets/AreyouOK/Resources/disability-booklet-newest-1.pdf</w:t>
        </w:r>
      </w:hyperlink>
      <w:r>
        <w:rPr>
          <w:lang w:val="en-NZ"/>
        </w:rPr>
        <w:t xml:space="preserve"> </w:t>
      </w:r>
    </w:p>
  </w:footnote>
  <w:footnote w:id="54">
    <w:p w:rsidR="003A486D" w:rsidRPr="00CB1C87" w:rsidRDefault="003A486D" w:rsidP="005C6961">
      <w:pPr>
        <w:pStyle w:val="FootnoteText"/>
        <w:rPr>
          <w:lang w:val="en-NZ"/>
        </w:rPr>
      </w:pPr>
      <w:r>
        <w:rPr>
          <w:rStyle w:val="FootnoteReference"/>
        </w:rPr>
        <w:footnoteRef/>
      </w:r>
      <w:r>
        <w:t xml:space="preserve"> </w:t>
      </w:r>
      <w:r>
        <w:rPr>
          <w:lang w:val="en-NZ"/>
        </w:rPr>
        <w:t xml:space="preserve">See </w:t>
      </w:r>
      <w:hyperlink r:id="rId35" w:history="1">
        <w:r w:rsidRPr="000457DB">
          <w:rPr>
            <w:rStyle w:val="Hyperlink"/>
            <w:lang w:val="en-NZ"/>
          </w:rPr>
          <w:t>https://women.govt.nz/news/more-women-public-boards</w:t>
        </w:r>
      </w:hyperlink>
      <w:r>
        <w:rPr>
          <w:lang w:val="en-NZ"/>
        </w:rPr>
        <w:t xml:space="preserve"> </w:t>
      </w:r>
    </w:p>
  </w:footnote>
  <w:footnote w:id="55">
    <w:p w:rsidR="003A486D" w:rsidRPr="00532D67" w:rsidRDefault="003A486D" w:rsidP="005C6961">
      <w:pPr>
        <w:pStyle w:val="FootnoteText"/>
        <w:rPr>
          <w:lang w:val="en-NZ"/>
        </w:rPr>
      </w:pPr>
      <w:r>
        <w:rPr>
          <w:rStyle w:val="FootnoteReference"/>
        </w:rPr>
        <w:footnoteRef/>
      </w:r>
      <w:r>
        <w:t xml:space="preserve"> See </w:t>
      </w:r>
      <w:hyperlink r:id="rId36" w:history="1">
        <w:r w:rsidRPr="00A61565">
          <w:rPr>
            <w:rStyle w:val="Hyperlink"/>
          </w:rPr>
          <w:t>https://www.odi.govt.nz/nz-disability-strategy/about-the-strategy/new-zealand-disability-strategy-2016-2026/2016-revision-of-the-strategy/new-zealand-disability-strategy-revision-reference-group/</w:t>
        </w:r>
      </w:hyperlink>
      <w:r>
        <w:t xml:space="preserve"> </w:t>
      </w:r>
    </w:p>
  </w:footnote>
  <w:footnote w:id="56">
    <w:p w:rsidR="003A486D" w:rsidRPr="00020800" w:rsidRDefault="003A486D" w:rsidP="005C6961">
      <w:pPr>
        <w:pStyle w:val="FootnoteText"/>
        <w:rPr>
          <w:lang w:val="en-NZ"/>
        </w:rPr>
      </w:pPr>
      <w:r>
        <w:rPr>
          <w:rStyle w:val="FootnoteReference"/>
        </w:rPr>
        <w:footnoteRef/>
      </w:r>
      <w:r>
        <w:t xml:space="preserve"> </w:t>
      </w:r>
      <w:r w:rsidRPr="00A54598">
        <w:rPr>
          <w:lang w:val="en-NZ"/>
        </w:rPr>
        <w:t>The New Zealand Sign Language Board of ten currently includes four women, two of whom are Deaf. The Chair is a Deaf woman. In line with its Terms of Reference, recruitment by June 2019 to replace members who are standing down is expected to further improve representation on the Board.</w:t>
      </w:r>
    </w:p>
  </w:footnote>
  <w:footnote w:id="57">
    <w:p w:rsidR="003A486D" w:rsidRPr="003955E1" w:rsidRDefault="003A486D" w:rsidP="005C6961">
      <w:pPr>
        <w:pStyle w:val="FootnoteText"/>
        <w:rPr>
          <w:lang w:val="en-NZ"/>
        </w:rPr>
      </w:pPr>
      <w:r>
        <w:rPr>
          <w:rStyle w:val="FootnoteReference"/>
        </w:rPr>
        <w:footnoteRef/>
      </w:r>
      <w:r>
        <w:t xml:space="preserve"> </w:t>
      </w:r>
      <w:r w:rsidRPr="00D12F91">
        <w:t>'Whaia te Ao Marama' in Te Reo means pursui</w:t>
      </w:r>
      <w:r>
        <w:t xml:space="preserve">ng the world of enlightenment. </w:t>
      </w:r>
      <w:r w:rsidRPr="00D12F91">
        <w:t>For the purposes of the plan, ‘Whāia te ao mārama’ means to pursue and enable a good life that is self-determined, through enlightened supports.</w:t>
      </w:r>
      <w:r>
        <w:t xml:space="preserve"> See </w:t>
      </w:r>
      <w:hyperlink r:id="rId37" w:history="1">
        <w:r w:rsidRPr="00761578">
          <w:rPr>
            <w:rStyle w:val="Hyperlink"/>
          </w:rPr>
          <w:t>www.health.govt.nz/our-work/disability-services/maori-disability-support-services/te-ao-marama-group</w:t>
        </w:r>
      </w:hyperlink>
      <w:r>
        <w:t xml:space="preserve"> </w:t>
      </w:r>
    </w:p>
  </w:footnote>
  <w:footnote w:id="58">
    <w:p w:rsidR="003A486D" w:rsidRDefault="003A486D" w:rsidP="005C6961">
      <w:pPr>
        <w:pStyle w:val="FootnoteText"/>
      </w:pPr>
      <w:r>
        <w:rPr>
          <w:rStyle w:val="FootnoteReference"/>
        </w:rPr>
        <w:footnoteRef/>
      </w:r>
      <w:r>
        <w:t xml:space="preserve"> </w:t>
      </w:r>
      <w:r w:rsidRPr="00823D9C">
        <w:t>We did not collect data on the number of disabled women who have been involved in the co-design of the disability support system transformation.</w:t>
      </w:r>
      <w:r>
        <w:t xml:space="preserve">  </w:t>
      </w:r>
    </w:p>
  </w:footnote>
  <w:footnote w:id="59">
    <w:p w:rsidR="003A486D" w:rsidRDefault="003A486D" w:rsidP="005C6961">
      <w:pPr>
        <w:pStyle w:val="FootnoteText"/>
      </w:pPr>
      <w:r>
        <w:rPr>
          <w:rStyle w:val="FootnoteReference"/>
        </w:rPr>
        <w:footnoteRef/>
      </w:r>
      <w:r>
        <w:t xml:space="preserve"> Disabled people had an additional place on the Governance Group, but chose to increase the representation of Pacific people by including a Pacific representative instead. </w:t>
      </w:r>
    </w:p>
  </w:footnote>
  <w:footnote w:id="60">
    <w:p w:rsidR="003A486D" w:rsidRPr="00887878" w:rsidRDefault="003A486D" w:rsidP="005C6961">
      <w:pPr>
        <w:pStyle w:val="FootnoteText"/>
        <w:rPr>
          <w:lang w:val="en-NZ"/>
        </w:rPr>
      </w:pPr>
      <w:r>
        <w:rPr>
          <w:rStyle w:val="FootnoteReference"/>
        </w:rPr>
        <w:footnoteRef/>
      </w:r>
      <w:r>
        <w:t xml:space="preserve"> </w:t>
      </w:r>
      <w:r w:rsidRPr="00D12F91">
        <w:t xml:space="preserve"> ‘Faiva Ora’ is the name of the Nati</w:t>
      </w:r>
      <w:r>
        <w:t xml:space="preserve">onal Pasifika Disability Plan. </w:t>
      </w:r>
      <w:r w:rsidRPr="00D12F91">
        <w:t xml:space="preserve">Faiva Ora translates to ‘the work for life’. It embodies the Pasifika spirit of working together to support Pacific disabled peoples and their families to live inclusive and fulfilling lives and to participate in their communities. </w:t>
      </w:r>
      <w:r>
        <w:rPr>
          <w:lang w:val="en-NZ"/>
        </w:rPr>
        <w:t xml:space="preserve">See </w:t>
      </w:r>
      <w:hyperlink r:id="rId38" w:history="1">
        <w:r w:rsidRPr="00761578">
          <w:rPr>
            <w:rStyle w:val="Hyperlink"/>
            <w:lang w:val="en-NZ"/>
          </w:rPr>
          <w:t>www.health.govt.nz/our-work/disability-services/pasifika-disability-support-services/faiva-ora-leadership-group</w:t>
        </w:r>
      </w:hyperlink>
      <w:r>
        <w:rPr>
          <w:lang w:val="en-NZ"/>
        </w:rPr>
        <w:t xml:space="preserve"> </w:t>
      </w:r>
    </w:p>
  </w:footnote>
  <w:footnote w:id="61">
    <w:p w:rsidR="003A486D" w:rsidRPr="00532D67" w:rsidRDefault="003A486D" w:rsidP="005C6961">
      <w:pPr>
        <w:pStyle w:val="FootnoteText"/>
        <w:rPr>
          <w:lang w:val="en-NZ"/>
        </w:rPr>
      </w:pPr>
      <w:r>
        <w:rPr>
          <w:rStyle w:val="FootnoteReference"/>
        </w:rPr>
        <w:footnoteRef/>
      </w:r>
      <w:r>
        <w:t xml:space="preserve"> </w:t>
      </w:r>
      <w:r>
        <w:rPr>
          <w:lang w:val="en-NZ"/>
        </w:rPr>
        <w:t xml:space="preserve">See </w:t>
      </w:r>
      <w:hyperlink r:id="rId39" w:history="1">
        <w:r w:rsidRPr="00A61565">
          <w:rPr>
            <w:rStyle w:val="Hyperlink"/>
            <w:lang w:val="en-NZ"/>
          </w:rPr>
          <w:t>www.msd.govt.nz/documents/about-msd-and-our-work/work-programmes/initiatives/weag/welfare-expert-advisory-group-appointment-of-members-cabinet-paper.pdf</w:t>
        </w:r>
      </w:hyperlink>
      <w:r>
        <w:rPr>
          <w:lang w:val="en-NZ"/>
        </w:rPr>
        <w:t xml:space="preserve"> </w:t>
      </w:r>
    </w:p>
  </w:footnote>
  <w:footnote w:id="62">
    <w:p w:rsidR="003A486D" w:rsidRPr="00EE3301" w:rsidRDefault="003A486D" w:rsidP="005C6961">
      <w:pPr>
        <w:pStyle w:val="FootnoteText"/>
        <w:rPr>
          <w:lang w:val="en-NZ"/>
        </w:rPr>
      </w:pPr>
      <w:r>
        <w:rPr>
          <w:rStyle w:val="FootnoteReference"/>
        </w:rPr>
        <w:footnoteRef/>
      </w:r>
      <w:r>
        <w:t xml:space="preserve"> </w:t>
      </w:r>
      <w:r>
        <w:rPr>
          <w:lang w:val="en-NZ"/>
        </w:rPr>
        <w:t xml:space="preserve">See </w:t>
      </w:r>
      <w:hyperlink r:id="rId40" w:history="1">
        <w:r w:rsidRPr="00A61565">
          <w:rPr>
            <w:rStyle w:val="Hyperlink"/>
            <w:lang w:val="en-NZ"/>
          </w:rPr>
          <w:t>https://www.hnzc.co.nz/about-us/our-structure/</w:t>
        </w:r>
      </w:hyperlink>
      <w:r>
        <w:rPr>
          <w:lang w:val="en-NZ"/>
        </w:rPr>
        <w:t xml:space="preserve"> </w:t>
      </w:r>
    </w:p>
  </w:footnote>
  <w:footnote w:id="63">
    <w:p w:rsidR="003A486D" w:rsidRPr="00584385" w:rsidRDefault="003A486D" w:rsidP="005C6961">
      <w:pPr>
        <w:pStyle w:val="FootnoteText"/>
        <w:rPr>
          <w:lang w:val="en-NZ"/>
        </w:rPr>
      </w:pPr>
      <w:r>
        <w:rPr>
          <w:rStyle w:val="FootnoteReference"/>
        </w:rPr>
        <w:footnoteRef/>
      </w:r>
      <w:r>
        <w:t xml:space="preserve"> S</w:t>
      </w:r>
      <w:r w:rsidRPr="00237D85">
        <w:t>ection 11(2)(c)</w:t>
      </w:r>
      <w:r>
        <w:t xml:space="preserve">, </w:t>
      </w:r>
      <w:r w:rsidRPr="007769D0">
        <w:rPr>
          <w:i/>
        </w:rPr>
        <w:t>Oranga Tamariki Act 1989</w:t>
      </w:r>
    </w:p>
  </w:footnote>
  <w:footnote w:id="64">
    <w:p w:rsidR="003A486D" w:rsidRPr="00552E45" w:rsidRDefault="003A486D" w:rsidP="005C6961">
      <w:pPr>
        <w:pStyle w:val="FootnoteText"/>
        <w:rPr>
          <w:lang w:val="en-NZ"/>
        </w:rPr>
      </w:pPr>
      <w:r>
        <w:rPr>
          <w:rStyle w:val="FootnoteReference"/>
        </w:rPr>
        <w:footnoteRef/>
      </w:r>
      <w:r>
        <w:t xml:space="preserve"> </w:t>
      </w:r>
      <w:r w:rsidRPr="00552E45">
        <w:t>Kōrero</w:t>
      </w:r>
      <w:r>
        <w:t xml:space="preserve"> refers to “</w:t>
      </w:r>
      <w:r w:rsidRPr="00552E45">
        <w:t>speech, narrative, story, news, account, discussion, conversation, di</w:t>
      </w:r>
      <w:r>
        <w:t>scourse, statement, information”.</w:t>
      </w:r>
      <w:r w:rsidRPr="00552E45">
        <w:t xml:space="preserve"> Mātauranga</w:t>
      </w:r>
      <w:r>
        <w:t xml:space="preserve"> refers to “</w:t>
      </w:r>
      <w:r w:rsidRPr="00552E45">
        <w:t>knowledge, wisdom, understanding, skill</w:t>
      </w:r>
      <w:r>
        <w:t xml:space="preserve">. It also means </w:t>
      </w:r>
      <w:r w:rsidRPr="00552E45">
        <w:t>education - an extension of the original meaning and commonly used in modern Māori with this meaning.</w:t>
      </w:r>
      <w:r>
        <w:t>”</w:t>
      </w:r>
    </w:p>
  </w:footnote>
  <w:footnote w:id="65">
    <w:p w:rsidR="003A486D" w:rsidRPr="000D0118" w:rsidRDefault="003A486D" w:rsidP="005C6961">
      <w:pPr>
        <w:pStyle w:val="FootnoteText"/>
        <w:rPr>
          <w:lang w:val="en-NZ"/>
        </w:rPr>
      </w:pPr>
      <w:r>
        <w:rPr>
          <w:rStyle w:val="FootnoteReference"/>
        </w:rPr>
        <w:footnoteRef/>
      </w:r>
      <w:r>
        <w:t xml:space="preserve"> See </w:t>
      </w:r>
      <w:hyperlink r:id="rId41" w:history="1">
        <w:r w:rsidRPr="00F10D1F">
          <w:rPr>
            <w:rStyle w:val="Hyperlink"/>
          </w:rPr>
          <w:t>www.msd.govt.nz/about-msd-and-our-work/publications-resources/resources/child-impact-assessment.html</w:t>
        </w:r>
      </w:hyperlink>
      <w:r>
        <w:t xml:space="preserve"> </w:t>
      </w:r>
    </w:p>
  </w:footnote>
  <w:footnote w:id="66">
    <w:p w:rsidR="003A486D" w:rsidRPr="000D0118" w:rsidRDefault="003A486D" w:rsidP="005C6961">
      <w:pPr>
        <w:pStyle w:val="FootnoteText"/>
        <w:rPr>
          <w:lang w:val="en-NZ"/>
        </w:rPr>
      </w:pPr>
      <w:r>
        <w:rPr>
          <w:rStyle w:val="FootnoteReference"/>
        </w:rPr>
        <w:footnoteRef/>
      </w:r>
      <w:r>
        <w:t xml:space="preserve"> See </w:t>
      </w:r>
      <w:hyperlink r:id="rId42" w:history="1">
        <w:r w:rsidRPr="00F10D1F">
          <w:rPr>
            <w:rStyle w:val="Hyperlink"/>
          </w:rPr>
          <w:t>www.msd.govt.nz/documents/about-msd-and-our-work/publications-resources/resources/child-impact-assessment-guide.pdf</w:t>
        </w:r>
      </w:hyperlink>
      <w:r>
        <w:t xml:space="preserve"> </w:t>
      </w:r>
    </w:p>
  </w:footnote>
  <w:footnote w:id="67">
    <w:p w:rsidR="003A486D" w:rsidRPr="00C46F0F" w:rsidRDefault="003A486D" w:rsidP="005C6961">
      <w:pPr>
        <w:pStyle w:val="FootnoteText"/>
        <w:rPr>
          <w:lang w:val="en-US"/>
        </w:rPr>
      </w:pPr>
      <w:r>
        <w:rPr>
          <w:rStyle w:val="FootnoteReference"/>
        </w:rPr>
        <w:footnoteRef/>
      </w:r>
      <w:r>
        <w:t xml:space="preserve"> Oranga Tamariki Act 1989,</w:t>
      </w:r>
      <w:r w:rsidRPr="00DF63A7">
        <w:t xml:space="preserve"> </w:t>
      </w:r>
      <w:r>
        <w:t>section 5(1)(b)(i)</w:t>
      </w:r>
    </w:p>
  </w:footnote>
  <w:footnote w:id="68">
    <w:p w:rsidR="003A486D" w:rsidRPr="00F658E9" w:rsidRDefault="003A486D" w:rsidP="005C6961">
      <w:pPr>
        <w:pStyle w:val="FootnoteText"/>
        <w:rPr>
          <w:lang w:val="en-NZ"/>
        </w:rPr>
      </w:pPr>
      <w:r>
        <w:rPr>
          <w:rStyle w:val="FootnoteReference"/>
        </w:rPr>
        <w:footnoteRef/>
      </w:r>
      <w:r>
        <w:t xml:space="preserve"> </w:t>
      </w:r>
      <w:r>
        <w:rPr>
          <w:lang w:val="en-NZ"/>
        </w:rPr>
        <w:t xml:space="preserve">See </w:t>
      </w:r>
      <w:hyperlink r:id="rId43" w:history="1">
        <w:r w:rsidRPr="00A61565">
          <w:rPr>
            <w:rStyle w:val="Hyperlink"/>
            <w:lang w:val="en-NZ"/>
          </w:rPr>
          <w:t>https://practice.orangatamariki.govt.nz/knowledge-base-practice-frameworks/</w:t>
        </w:r>
      </w:hyperlink>
      <w:r>
        <w:rPr>
          <w:lang w:val="en-NZ"/>
        </w:rPr>
        <w:t xml:space="preserve"> </w:t>
      </w:r>
    </w:p>
  </w:footnote>
  <w:footnote w:id="69">
    <w:p w:rsidR="003A486D" w:rsidRPr="00166ADE" w:rsidRDefault="003A486D" w:rsidP="005C6961">
      <w:pPr>
        <w:pStyle w:val="FootnoteText"/>
      </w:pPr>
      <w:r>
        <w:rPr>
          <w:rStyle w:val="FootnoteReference"/>
        </w:rPr>
        <w:footnoteRef/>
      </w:r>
      <w:r>
        <w:t xml:space="preserve"> Please note that the English language name for </w:t>
      </w:r>
      <w:r w:rsidRPr="00D92C02">
        <w:t xml:space="preserve">Oranga Tamariki </w:t>
      </w:r>
      <w:r>
        <w:t xml:space="preserve">was changed from the Ministry for Vulnerable Children to the Ministry for Children in 2017.  “Oranga Tamariki” is Te Reo meaning “the wellbeing of children”. See </w:t>
      </w:r>
      <w:hyperlink r:id="rId44" w:history="1">
        <w:r w:rsidRPr="005D6DB2">
          <w:rPr>
            <w:rStyle w:val="Hyperlink"/>
          </w:rPr>
          <w:t>www.orangatamariki.govt.nz/about-us/overview/</w:t>
        </w:r>
      </w:hyperlink>
      <w:r>
        <w:t xml:space="preserve"> </w:t>
      </w:r>
    </w:p>
  </w:footnote>
  <w:footnote w:id="70">
    <w:p w:rsidR="003A486D" w:rsidRPr="00F658E9" w:rsidRDefault="003A486D" w:rsidP="005C6961">
      <w:pPr>
        <w:pStyle w:val="FootnoteText"/>
        <w:rPr>
          <w:lang w:val="en-NZ"/>
        </w:rPr>
      </w:pPr>
      <w:r>
        <w:rPr>
          <w:rStyle w:val="FootnoteReference"/>
        </w:rPr>
        <w:footnoteRef/>
      </w:r>
      <w:r>
        <w:t xml:space="preserve"> </w:t>
      </w:r>
      <w:r>
        <w:rPr>
          <w:lang w:val="en-NZ"/>
        </w:rPr>
        <w:t xml:space="preserve">See </w:t>
      </w:r>
      <w:hyperlink r:id="rId45" w:history="1">
        <w:r w:rsidRPr="00A61565">
          <w:rPr>
            <w:rStyle w:val="Hyperlink"/>
            <w:lang w:val="en-NZ"/>
          </w:rPr>
          <w:t>http://www.hcn.govt.nz/about-hcn/index.html</w:t>
        </w:r>
      </w:hyperlink>
      <w:r>
        <w:rPr>
          <w:lang w:val="en-NZ"/>
        </w:rPr>
        <w:t xml:space="preserve"> </w:t>
      </w:r>
    </w:p>
  </w:footnote>
  <w:footnote w:id="71">
    <w:p w:rsidR="003A486D" w:rsidRPr="00F658E9" w:rsidRDefault="003A486D" w:rsidP="005C6961">
      <w:pPr>
        <w:pStyle w:val="FootnoteText"/>
        <w:rPr>
          <w:lang w:val="en-NZ"/>
        </w:rPr>
      </w:pPr>
      <w:r>
        <w:rPr>
          <w:rStyle w:val="FootnoteReference"/>
        </w:rPr>
        <w:footnoteRef/>
      </w:r>
      <w:r>
        <w:t xml:space="preserve"> </w:t>
      </w:r>
      <w:r w:rsidRPr="00507E45">
        <w:t>Mana Whaikaha reflects people’s strength, mana (influence, dignity) and mauri (life essence)</w:t>
      </w:r>
      <w:r>
        <w:t xml:space="preserve">. </w:t>
      </w:r>
      <w:r w:rsidRPr="00507E45">
        <w:t>Whaikaha means to have strength, to have ability, to be otherly abled, and to be enabled.</w:t>
      </w:r>
      <w:r>
        <w:t xml:space="preserve"> See </w:t>
      </w:r>
      <w:hyperlink r:id="rId46" w:history="1">
        <w:r w:rsidRPr="00985071">
          <w:rPr>
            <w:rStyle w:val="Hyperlink"/>
          </w:rPr>
          <w:t>https://manawhaikaha.co.nz/about-us/mana-whaikaha-korero/</w:t>
        </w:r>
      </w:hyperlink>
    </w:p>
  </w:footnote>
  <w:footnote w:id="72">
    <w:p w:rsidR="003A486D" w:rsidRPr="00825040" w:rsidRDefault="003A486D" w:rsidP="005C6961">
      <w:pPr>
        <w:pStyle w:val="FootnoteText"/>
        <w:rPr>
          <w:lang w:val="en-NZ"/>
        </w:rPr>
      </w:pPr>
      <w:r>
        <w:rPr>
          <w:rStyle w:val="FootnoteReference"/>
        </w:rPr>
        <w:footnoteRef/>
      </w:r>
      <w:r>
        <w:t xml:space="preserve"> </w:t>
      </w:r>
      <w:r w:rsidRPr="00825040">
        <w:t>Anyone in MidCentral can ask for support for a child or young person who may or may not have a diagnosis and needs additional support to thrive. Requests for support can be from parents, health professionals, teachers, Connectors, or ACC. The group is supported by paediatricians, Child Development Services, Explore, Child, Adolescent and Family Mental Health Services, Community Mental Health Services, Ministry of Education - Learning Support, Oranga Tamariki, Mana Whaikaha, Accident Compensation Corporation (ACC), and other agencies.</w:t>
      </w:r>
    </w:p>
  </w:footnote>
  <w:footnote w:id="73">
    <w:p w:rsidR="003A486D" w:rsidRPr="00AB67F0" w:rsidRDefault="003A486D" w:rsidP="005C6961">
      <w:pPr>
        <w:pStyle w:val="FootnoteText"/>
        <w:rPr>
          <w:lang w:val="en-NZ"/>
        </w:rPr>
      </w:pPr>
      <w:r>
        <w:rPr>
          <w:rStyle w:val="FootnoteReference"/>
        </w:rPr>
        <w:footnoteRef/>
      </w:r>
      <w:r>
        <w:t xml:space="preserve"> </w:t>
      </w:r>
      <w:r>
        <w:rPr>
          <w:lang w:val="en-NZ"/>
        </w:rPr>
        <w:t xml:space="preserve">See </w:t>
      </w:r>
      <w:hyperlink r:id="rId47" w:history="1">
        <w:r w:rsidRPr="00FF51D1">
          <w:rPr>
            <w:rStyle w:val="Hyperlink"/>
            <w:lang w:val="en-NZ"/>
          </w:rPr>
          <w:t>www.legislation.govt.nz/regulation/public/2018/0223/latest/whole.html</w:t>
        </w:r>
      </w:hyperlink>
      <w:r>
        <w:rPr>
          <w:lang w:val="en-NZ"/>
        </w:rPr>
        <w:t xml:space="preserve"> </w:t>
      </w:r>
    </w:p>
  </w:footnote>
  <w:footnote w:id="74">
    <w:p w:rsidR="003A486D" w:rsidRPr="00887878" w:rsidRDefault="003A486D" w:rsidP="005C6961">
      <w:pPr>
        <w:pStyle w:val="FootnoteText"/>
        <w:rPr>
          <w:lang w:val="en-NZ"/>
        </w:rPr>
      </w:pPr>
      <w:r>
        <w:rPr>
          <w:rStyle w:val="FootnoteReference"/>
        </w:rPr>
        <w:footnoteRef/>
      </w:r>
      <w:r>
        <w:t xml:space="preserve"> LGBTQI is an a</w:t>
      </w:r>
      <w:r w:rsidRPr="00887878">
        <w:t>bbreviation of lesbian, gay, bisexual, transgender, questioning (or: queer), intersex.</w:t>
      </w:r>
    </w:p>
  </w:footnote>
  <w:footnote w:id="75">
    <w:p w:rsidR="003A486D" w:rsidRPr="0049486A" w:rsidRDefault="003A486D" w:rsidP="005C6961">
      <w:pPr>
        <w:pStyle w:val="FootnoteText"/>
        <w:rPr>
          <w:lang w:val="en-NZ"/>
        </w:rPr>
      </w:pPr>
      <w:r>
        <w:rPr>
          <w:rStyle w:val="FootnoteReference"/>
        </w:rPr>
        <w:footnoteRef/>
      </w:r>
      <w:r>
        <w:t xml:space="preserve"> </w:t>
      </w:r>
      <w:r>
        <w:rPr>
          <w:lang w:val="en-NZ"/>
        </w:rPr>
        <w:t xml:space="preserve">See </w:t>
      </w:r>
      <w:hyperlink r:id="rId48" w:history="1">
        <w:r w:rsidRPr="00A61565">
          <w:rPr>
            <w:rStyle w:val="Hyperlink"/>
            <w:lang w:val="en-NZ"/>
          </w:rPr>
          <w:t>https://www.orangatamariki.govt.nz/news/care-standards-support-tamariki-and-caregivers/</w:t>
        </w:r>
      </w:hyperlink>
      <w:r>
        <w:rPr>
          <w:lang w:val="en-NZ"/>
        </w:rPr>
        <w:t xml:space="preserve"> </w:t>
      </w:r>
    </w:p>
  </w:footnote>
  <w:footnote w:id="76">
    <w:p w:rsidR="003A486D" w:rsidRPr="00BB6EBF" w:rsidRDefault="003A486D" w:rsidP="005C6961">
      <w:pPr>
        <w:pStyle w:val="FootnoteText"/>
        <w:rPr>
          <w:lang w:val="en-NZ"/>
        </w:rPr>
      </w:pPr>
      <w:r>
        <w:rPr>
          <w:rStyle w:val="FootnoteReference"/>
        </w:rPr>
        <w:footnoteRef/>
      </w:r>
      <w:r>
        <w:t xml:space="preserve"> </w:t>
      </w:r>
      <w:r w:rsidRPr="00BB6EBF">
        <w:t>Reference to 1993 rela</w:t>
      </w:r>
      <w:r>
        <w:t>tes to two</w:t>
      </w:r>
      <w:r w:rsidRPr="00BB6EBF">
        <w:t xml:space="preserve"> events - when the Mental Health (Compulsory Assessment and Treatment) Act 1992 came into force and the establishment of </w:t>
      </w:r>
      <w:r>
        <w:t xml:space="preserve">Regional Health Authorities and Crown Health Enterprises </w:t>
      </w:r>
      <w:r w:rsidRPr="00BB6EBF">
        <w:t xml:space="preserve">on 1 July 1993. After 1993, there </w:t>
      </w:r>
      <w:r>
        <w:t>was</w:t>
      </w:r>
      <w:r w:rsidRPr="00BB6EBF">
        <w:t xml:space="preserve"> a range of new mechanisms established, </w:t>
      </w:r>
      <w:r>
        <w:t>including</w:t>
      </w:r>
      <w:r w:rsidRPr="00BB6EBF">
        <w:t xml:space="preserve"> the </w:t>
      </w:r>
      <w:r>
        <w:t>Health and Disability Commissioner</w:t>
      </w:r>
      <w:r w:rsidRPr="00BB6EBF">
        <w:t>, appointment of District Inspectors, audit agencies for aged care and residential care facilities etc, for investigation of complaints and to seek redress from agencies.</w:t>
      </w:r>
    </w:p>
  </w:footnote>
  <w:footnote w:id="77">
    <w:p w:rsidR="003A486D" w:rsidRPr="00BD34D2" w:rsidRDefault="003A486D" w:rsidP="005C6961">
      <w:pPr>
        <w:pStyle w:val="FootnoteText"/>
        <w:rPr>
          <w:lang w:val="en-NZ"/>
        </w:rPr>
      </w:pPr>
      <w:r>
        <w:rPr>
          <w:rStyle w:val="FootnoteReference"/>
        </w:rPr>
        <w:footnoteRef/>
      </w:r>
      <w:r>
        <w:t xml:space="preserve"> See </w:t>
      </w:r>
      <w:hyperlink r:id="rId49" w:history="1">
        <w:r w:rsidRPr="00F10D1F">
          <w:rPr>
            <w:rStyle w:val="Hyperlink"/>
          </w:rPr>
          <w:t>www.hdc.org.nz/</w:t>
        </w:r>
      </w:hyperlink>
      <w:r>
        <w:t xml:space="preserve">  </w:t>
      </w:r>
    </w:p>
  </w:footnote>
  <w:footnote w:id="78">
    <w:p w:rsidR="003A486D" w:rsidRPr="0049486A" w:rsidRDefault="003A486D" w:rsidP="005C6961">
      <w:pPr>
        <w:pStyle w:val="FootnoteText"/>
        <w:rPr>
          <w:lang w:val="en-NZ"/>
        </w:rPr>
      </w:pPr>
      <w:r>
        <w:rPr>
          <w:rStyle w:val="FootnoteReference"/>
        </w:rPr>
        <w:footnoteRef/>
      </w:r>
      <w:r>
        <w:t xml:space="preserve"> </w:t>
      </w:r>
      <w:r>
        <w:rPr>
          <w:lang w:val="en-NZ"/>
        </w:rPr>
        <w:t xml:space="preserve">See </w:t>
      </w:r>
      <w:hyperlink r:id="rId50" w:history="1">
        <w:r w:rsidRPr="00A61565">
          <w:rPr>
            <w:rStyle w:val="Hyperlink"/>
            <w:lang w:val="en-NZ"/>
          </w:rPr>
          <w:t>http://www.ombudsman.parliament.nz/</w:t>
        </w:r>
      </w:hyperlink>
      <w:r>
        <w:rPr>
          <w:lang w:val="en-NZ"/>
        </w:rPr>
        <w:t xml:space="preserve"> </w:t>
      </w:r>
    </w:p>
  </w:footnote>
  <w:footnote w:id="79">
    <w:p w:rsidR="003A486D" w:rsidRPr="00BA5F3C" w:rsidRDefault="003A486D" w:rsidP="005C6961">
      <w:pPr>
        <w:pStyle w:val="FootnoteText"/>
        <w:rPr>
          <w:lang w:val="en-NZ"/>
        </w:rPr>
      </w:pPr>
      <w:r>
        <w:rPr>
          <w:rStyle w:val="FootnoteReference"/>
        </w:rPr>
        <w:footnoteRef/>
      </w:r>
      <w:r>
        <w:t xml:space="preserve"> </w:t>
      </w:r>
      <w:r>
        <w:rPr>
          <w:lang w:val="en-NZ"/>
        </w:rPr>
        <w:t xml:space="preserve">See </w:t>
      </w:r>
      <w:hyperlink r:id="rId51" w:history="1">
        <w:r w:rsidRPr="00F70591">
          <w:rPr>
            <w:rStyle w:val="Hyperlink"/>
            <w:lang w:val="en-NZ"/>
          </w:rPr>
          <w:t>www.corrections.govt.nz/about_us/who_we_are/office_of_the_inspectorate.html</w:t>
        </w:r>
      </w:hyperlink>
      <w:r>
        <w:rPr>
          <w:lang w:val="en-NZ"/>
        </w:rPr>
        <w:t xml:space="preserve"> </w:t>
      </w:r>
    </w:p>
  </w:footnote>
  <w:footnote w:id="80">
    <w:p w:rsidR="003A486D" w:rsidRDefault="003A486D" w:rsidP="005C6961">
      <w:pPr>
        <w:pStyle w:val="FootnoteText"/>
      </w:pPr>
      <w:r>
        <w:rPr>
          <w:rStyle w:val="FootnoteReference"/>
        </w:rPr>
        <w:footnoteRef/>
      </w:r>
      <w:r>
        <w:t xml:space="preserve"> Oranga Tamariki (National Care Standards and Related Matters) Regulations 2018. See </w:t>
      </w:r>
      <w:hyperlink r:id="rId52" w:history="1">
        <w:r>
          <w:rPr>
            <w:rStyle w:val="Hyperlink"/>
          </w:rPr>
          <w:t>www.legislation.govt.nz/regulation/public/2018/0111/latest/LMS56030.html</w:t>
        </w:r>
      </w:hyperlink>
      <w:r>
        <w:t xml:space="preserve"> </w:t>
      </w:r>
    </w:p>
  </w:footnote>
  <w:footnote w:id="81">
    <w:p w:rsidR="003A486D" w:rsidRPr="004A0F5D" w:rsidRDefault="003A486D" w:rsidP="005C6961">
      <w:pPr>
        <w:pStyle w:val="FootnoteText"/>
        <w:rPr>
          <w:lang w:val="en-NZ"/>
        </w:rPr>
      </w:pPr>
      <w:r>
        <w:rPr>
          <w:rStyle w:val="FootnoteReference"/>
        </w:rPr>
        <w:footnoteRef/>
      </w:r>
      <w:r>
        <w:t xml:space="preserve"> “H</w:t>
      </w:r>
      <w:r w:rsidRPr="004A0F5D">
        <w:t>apū</w:t>
      </w:r>
      <w:r>
        <w:t>” is the Te Reo word meaning</w:t>
      </w:r>
      <w:r w:rsidRPr="004A0F5D">
        <w:t xml:space="preserve"> </w:t>
      </w:r>
      <w:r>
        <w:t>“</w:t>
      </w:r>
      <w:r w:rsidRPr="004A0F5D">
        <w:t>(noun) kinship group, clan, tribe, subtribe - section of a large kinship group and the primary political unit in traditional Māori society. It consisted of a number of whānau sharing descent from a common ancestor, usually being named after the ancestor, but sometimes from an important event in the group's history. A number of related hapū usually shared adjacent territories forming a looser tribal federation (iwi).</w:t>
      </w:r>
      <w:r>
        <w:t>”</w:t>
      </w:r>
    </w:p>
  </w:footnote>
  <w:footnote w:id="82">
    <w:p w:rsidR="003A486D" w:rsidRPr="004A0F5D" w:rsidRDefault="003A486D" w:rsidP="005C6961">
      <w:pPr>
        <w:pStyle w:val="FootnoteText"/>
        <w:rPr>
          <w:lang w:val="en-NZ"/>
        </w:rPr>
      </w:pPr>
      <w:r>
        <w:rPr>
          <w:rStyle w:val="FootnoteReference"/>
        </w:rPr>
        <w:footnoteRef/>
      </w:r>
      <w:r>
        <w:t xml:space="preserve"> </w:t>
      </w:r>
      <w:r>
        <w:rPr>
          <w:lang w:val="en-NZ"/>
        </w:rPr>
        <w:t>“Iwi” is the Te reo word meaning “</w:t>
      </w:r>
      <w:r w:rsidRPr="004A0F5D">
        <w:rPr>
          <w:lang w:val="en-NZ"/>
        </w:rPr>
        <w:t>(noun) extended kinship group, tribe, nation, people, nationality, race - often refers to a large group of people descended from a common ancestor and associated with a distinct territory.</w:t>
      </w:r>
      <w:r>
        <w:rPr>
          <w:lang w:val="en-NZ"/>
        </w:rPr>
        <w:t>”</w:t>
      </w:r>
    </w:p>
  </w:footnote>
  <w:footnote w:id="83">
    <w:p w:rsidR="003A486D" w:rsidRPr="00803D65" w:rsidRDefault="003A486D" w:rsidP="005C6961">
      <w:pPr>
        <w:pStyle w:val="FootnoteText"/>
        <w:rPr>
          <w:lang w:val="en-NZ"/>
        </w:rPr>
      </w:pPr>
      <w:r>
        <w:rPr>
          <w:rStyle w:val="FootnoteReference"/>
        </w:rPr>
        <w:footnoteRef/>
      </w:r>
      <w:r>
        <w:t xml:space="preserve"> </w:t>
      </w:r>
      <w:r>
        <w:rPr>
          <w:lang w:val="en-NZ"/>
        </w:rPr>
        <w:t xml:space="preserve">See </w:t>
      </w:r>
      <w:hyperlink r:id="rId53" w:history="1">
        <w:r w:rsidRPr="001665AE">
          <w:rPr>
            <w:rStyle w:val="Hyperlink"/>
            <w:lang w:val="en-NZ"/>
          </w:rPr>
          <w:t>https://www.likeminds.org.nz/</w:t>
        </w:r>
      </w:hyperlink>
      <w:r>
        <w:rPr>
          <w:lang w:val="en-NZ"/>
        </w:rPr>
        <w:t xml:space="preserve"> </w:t>
      </w:r>
    </w:p>
  </w:footnote>
  <w:footnote w:id="84">
    <w:p w:rsidR="003A486D" w:rsidRPr="00714AEB" w:rsidRDefault="003A486D" w:rsidP="005C6961">
      <w:pPr>
        <w:pStyle w:val="FootnoteText"/>
      </w:pPr>
      <w:r w:rsidRPr="000E272F">
        <w:rPr>
          <w:rStyle w:val="FootnoteReference"/>
        </w:rPr>
        <w:footnoteRef/>
      </w:r>
      <w:r w:rsidRPr="000E272F">
        <w:t xml:space="preserve"> The programme is currently focusing its efforts particularly on workplaces, media, and champions or leads in community activities, and family, whānau and friends of people experiencing mental distress. Further</w:t>
      </w:r>
      <w:r>
        <w:t xml:space="preserve"> information about the programme is available in the </w:t>
      </w:r>
      <w:r w:rsidRPr="00664EB2">
        <w:rPr>
          <w:i/>
        </w:rPr>
        <w:t>Like Minds, Like Mine National Plan 2014-2019: Programme to Increase Social Inclusion and Reduce Stigma and Discrimination for People with Experience of Mental Illness</w:t>
      </w:r>
      <w:r w:rsidRPr="00714AEB">
        <w:t xml:space="preserve">, at </w:t>
      </w:r>
      <w:hyperlink r:id="rId54" w:history="1">
        <w:r w:rsidRPr="00EF1D2C">
          <w:rPr>
            <w:rStyle w:val="Hyperlink"/>
          </w:rPr>
          <w:t>https://www.health.govt.nz/publication/minds-mine-national-plan-2014-2019</w:t>
        </w:r>
      </w:hyperlink>
      <w:r>
        <w:t xml:space="preserve"> </w:t>
      </w:r>
      <w:r w:rsidRPr="00664EB2">
        <w:t xml:space="preserve"> </w:t>
      </w:r>
    </w:p>
  </w:footnote>
  <w:footnote w:id="85">
    <w:p w:rsidR="003A486D" w:rsidRPr="00803D65" w:rsidRDefault="003A486D" w:rsidP="005C6961">
      <w:pPr>
        <w:pStyle w:val="FootnoteText"/>
        <w:rPr>
          <w:lang w:val="en-NZ"/>
        </w:rPr>
      </w:pPr>
      <w:r>
        <w:rPr>
          <w:rStyle w:val="FootnoteReference"/>
        </w:rPr>
        <w:footnoteRef/>
      </w:r>
      <w:r>
        <w:t xml:space="preserve"> See  </w:t>
      </w:r>
      <w:hyperlink r:id="rId55" w:history="1">
        <w:r w:rsidRPr="001665AE">
          <w:rPr>
            <w:rStyle w:val="Hyperlink"/>
          </w:rPr>
          <w:t>http://msd.govt.nz/about-msd-and-our-work/work-programmes/initiatives/disabilityconfidentnz/index.html</w:t>
        </w:r>
      </w:hyperlink>
      <w:r>
        <w:t xml:space="preserve"> </w:t>
      </w:r>
    </w:p>
  </w:footnote>
  <w:footnote w:id="86">
    <w:p w:rsidR="003A486D" w:rsidRPr="00803D65" w:rsidRDefault="003A486D" w:rsidP="005C6961">
      <w:pPr>
        <w:pStyle w:val="FootnoteText"/>
        <w:rPr>
          <w:lang w:val="en-NZ"/>
        </w:rPr>
      </w:pPr>
      <w:r>
        <w:rPr>
          <w:rStyle w:val="FootnoteReference"/>
        </w:rPr>
        <w:footnoteRef/>
      </w:r>
      <w:r>
        <w:t xml:space="preserve"> </w:t>
      </w:r>
      <w:r>
        <w:rPr>
          <w:lang w:val="en-NZ"/>
        </w:rPr>
        <w:t xml:space="preserve">See </w:t>
      </w:r>
      <w:hyperlink r:id="rId56" w:history="1">
        <w:r w:rsidRPr="001665AE">
          <w:rPr>
            <w:rStyle w:val="Hyperlink"/>
            <w:lang w:val="en-NZ"/>
          </w:rPr>
          <w:t>https://www.health.govt.nz/our-work/mental-health-and-addictions/national-depression-initiative</w:t>
        </w:r>
      </w:hyperlink>
      <w:r>
        <w:rPr>
          <w:lang w:val="en-NZ"/>
        </w:rPr>
        <w:t xml:space="preserve"> </w:t>
      </w:r>
    </w:p>
  </w:footnote>
  <w:footnote w:id="87">
    <w:p w:rsidR="003A486D" w:rsidRPr="00F27FE8" w:rsidRDefault="003A486D" w:rsidP="005C6961">
      <w:pPr>
        <w:pStyle w:val="FootnoteText"/>
        <w:rPr>
          <w:lang w:val="en-NZ"/>
        </w:rPr>
      </w:pPr>
      <w:r>
        <w:rPr>
          <w:rStyle w:val="FootnoteReference"/>
        </w:rPr>
        <w:footnoteRef/>
      </w:r>
      <w:r>
        <w:t xml:space="preserve"> Action 10(b) refers, </w:t>
      </w:r>
      <w:r>
        <w:rPr>
          <w:i/>
        </w:rPr>
        <w:t xml:space="preserve">Disability Action Plan 2014-2018, </w:t>
      </w:r>
      <w:hyperlink r:id="rId57" w:history="1">
        <w:r w:rsidRPr="00571A78">
          <w:rPr>
            <w:rStyle w:val="Hyperlink"/>
          </w:rPr>
          <w:t>www.odi.govt.nz/nz-disability-strategy/outcome-5-accessibility/</w:t>
        </w:r>
      </w:hyperlink>
      <w:r>
        <w:t xml:space="preserve"> </w:t>
      </w:r>
    </w:p>
  </w:footnote>
  <w:footnote w:id="88">
    <w:p w:rsidR="003A486D" w:rsidRPr="001821D0" w:rsidRDefault="003A486D" w:rsidP="005C6961">
      <w:pPr>
        <w:pStyle w:val="FootnoteText"/>
        <w:rPr>
          <w:lang w:val="en-NZ"/>
        </w:rPr>
      </w:pPr>
      <w:r>
        <w:rPr>
          <w:rStyle w:val="FootnoteReference"/>
        </w:rPr>
        <w:footnoteRef/>
      </w:r>
      <w:r>
        <w:t xml:space="preserve"> March 2005. See </w:t>
      </w:r>
      <w:hyperlink r:id="rId58" w:history="1">
        <w:r w:rsidRPr="00F10D1F">
          <w:rPr>
            <w:rStyle w:val="Hyperlink"/>
          </w:rPr>
          <w:t>www.mfe.govt.nz/sites/default/files/urban-design-protocol-colour.pdf</w:t>
        </w:r>
      </w:hyperlink>
      <w:r>
        <w:t xml:space="preserve">  </w:t>
      </w:r>
    </w:p>
  </w:footnote>
  <w:footnote w:id="89">
    <w:p w:rsidR="003A486D" w:rsidRPr="00016418" w:rsidRDefault="003A486D" w:rsidP="005C6961">
      <w:pPr>
        <w:pStyle w:val="FootnoteText"/>
        <w:rPr>
          <w:lang w:val="en-NZ"/>
        </w:rPr>
      </w:pPr>
      <w:r>
        <w:rPr>
          <w:rStyle w:val="FootnoteReference"/>
        </w:rPr>
        <w:footnoteRef/>
      </w:r>
      <w:r>
        <w:t xml:space="preserve"> </w:t>
      </w:r>
      <w:r w:rsidRPr="00016418">
        <w:t>The guidelines cover a wide range of design features including pedestrian facility design, tactile ground surface indicators, audible tactile traffic signals, kerb crossing design and universal access to public transport. The guide uses universal design principles.</w:t>
      </w:r>
    </w:p>
  </w:footnote>
  <w:footnote w:id="90">
    <w:p w:rsidR="003A486D" w:rsidRPr="00FE2A08" w:rsidRDefault="003A486D" w:rsidP="005C6961">
      <w:pPr>
        <w:pStyle w:val="FootnoteText"/>
        <w:rPr>
          <w:lang w:val="en-NZ"/>
        </w:rPr>
      </w:pPr>
      <w:r>
        <w:rPr>
          <w:rStyle w:val="FootnoteReference"/>
        </w:rPr>
        <w:footnoteRef/>
      </w:r>
      <w:r>
        <w:t xml:space="preserve"> The Pedestrian Planning and Design Guide provides guidance for planning and designing for the walking environment for a wide range of users, including mobility impaired and wheeled pedestrians.</w:t>
      </w:r>
    </w:p>
  </w:footnote>
  <w:footnote w:id="91">
    <w:p w:rsidR="003A486D" w:rsidRPr="0049486A" w:rsidRDefault="003A486D" w:rsidP="005C6961">
      <w:pPr>
        <w:pStyle w:val="FootnoteText"/>
        <w:rPr>
          <w:lang w:val="en-NZ"/>
        </w:rPr>
      </w:pPr>
      <w:r>
        <w:rPr>
          <w:rStyle w:val="FootnoteReference"/>
        </w:rPr>
        <w:footnoteRef/>
      </w:r>
      <w:r>
        <w:t xml:space="preserve"> </w:t>
      </w:r>
      <w:r w:rsidRPr="0049486A">
        <w:t>The Minister for Housing and Urban Development and Transport</w:t>
      </w:r>
      <w:r>
        <w:t xml:space="preserve"> is Hon Phil Twyford</w:t>
      </w:r>
    </w:p>
  </w:footnote>
  <w:footnote w:id="92">
    <w:p w:rsidR="003A486D" w:rsidRPr="00EB0C22" w:rsidRDefault="003A486D" w:rsidP="005C6961">
      <w:pPr>
        <w:pStyle w:val="FootnoteText"/>
        <w:rPr>
          <w:lang w:val="en-NZ"/>
        </w:rPr>
      </w:pPr>
      <w:r>
        <w:rPr>
          <w:rStyle w:val="FootnoteReference"/>
        </w:rPr>
        <w:footnoteRef/>
      </w:r>
      <w:r>
        <w:t xml:space="preserve"> </w:t>
      </w:r>
      <w:r w:rsidRPr="00B564A1">
        <w:t xml:space="preserve">Housing </w:t>
      </w:r>
      <w:r>
        <w:t>NZ</w:t>
      </w:r>
      <w:r w:rsidRPr="00B564A1">
        <w:t xml:space="preserve"> Corporation is a Crown agent that provides housing services for New Zealanders in need</w:t>
      </w:r>
      <w:r>
        <w:t>.</w:t>
      </w:r>
      <w:r w:rsidRPr="00B41504">
        <w:t xml:space="preserve"> </w:t>
      </w:r>
      <w:r w:rsidRPr="003546C8">
        <w:t xml:space="preserve">Housing </w:t>
      </w:r>
      <w:r>
        <w:t xml:space="preserve">NZ Corporation </w:t>
      </w:r>
      <w:r w:rsidRPr="003546C8">
        <w:t>own</w:t>
      </w:r>
      <w:r>
        <w:t>s</w:t>
      </w:r>
      <w:r w:rsidRPr="003546C8">
        <w:t xml:space="preserve"> or manage</w:t>
      </w:r>
      <w:r>
        <w:t>s</w:t>
      </w:r>
      <w:r w:rsidRPr="003546C8">
        <w:t xml:space="preserve"> a ren</w:t>
      </w:r>
      <w:r>
        <w:t>tal housing portfolio of over 64</w:t>
      </w:r>
      <w:r w:rsidRPr="003546C8">
        <w:t>,000 homes</w:t>
      </w:r>
      <w:r>
        <w:t xml:space="preserve"> for approximately 184,000 people.</w:t>
      </w:r>
    </w:p>
  </w:footnote>
  <w:footnote w:id="93">
    <w:p w:rsidR="003A486D" w:rsidRPr="00B41504" w:rsidRDefault="003A486D" w:rsidP="005C6961">
      <w:pPr>
        <w:pStyle w:val="FootnoteText"/>
        <w:rPr>
          <w:lang w:val="en-NZ"/>
        </w:rPr>
      </w:pPr>
      <w:r>
        <w:rPr>
          <w:rStyle w:val="FootnoteReference"/>
        </w:rPr>
        <w:footnoteRef/>
      </w:r>
      <w:r>
        <w:t xml:space="preserve"> </w:t>
      </w:r>
      <w:r>
        <w:rPr>
          <w:lang w:val="en-NZ"/>
        </w:rPr>
        <w:t xml:space="preserve">See </w:t>
      </w:r>
      <w:hyperlink r:id="rId59" w:history="1">
        <w:r w:rsidRPr="00A61565">
          <w:rPr>
            <w:rStyle w:val="Hyperlink"/>
            <w:lang w:val="en-NZ"/>
          </w:rPr>
          <w:t>https://www.hud.govt.nz/residential-housing/kiwibuild/</w:t>
        </w:r>
      </w:hyperlink>
      <w:r>
        <w:rPr>
          <w:lang w:val="en-NZ"/>
        </w:rPr>
        <w:t xml:space="preserve"> </w:t>
      </w:r>
    </w:p>
  </w:footnote>
  <w:footnote w:id="94">
    <w:p w:rsidR="003A486D" w:rsidRPr="00C46F0F" w:rsidRDefault="003A486D" w:rsidP="005C6961">
      <w:pPr>
        <w:pStyle w:val="FootnoteText"/>
        <w:rPr>
          <w:lang w:val="en-US"/>
        </w:rPr>
      </w:pPr>
      <w:r>
        <w:rPr>
          <w:rStyle w:val="FootnoteReference"/>
        </w:rPr>
        <w:footnoteRef/>
      </w:r>
      <w:r>
        <w:t xml:space="preserve"> </w:t>
      </w:r>
      <w:r w:rsidRPr="005465E2">
        <w:t>The measure for wheelchair accessible taxis is reported via regional councils and Auckland Transport and is measured by</w:t>
      </w:r>
      <w:r>
        <w:t xml:space="preserve"> the</w:t>
      </w:r>
      <w:r w:rsidRPr="005465E2">
        <w:t xml:space="preserve"> number of hoist vehicles available on the Total Mobility Scheme. In 2016/17, there were 382</w:t>
      </w:r>
      <w:r>
        <w:t xml:space="preserve"> hoist </w:t>
      </w:r>
      <w:r w:rsidRPr="005465E2">
        <w:t xml:space="preserve">vehicles </w:t>
      </w:r>
      <w:r>
        <w:t xml:space="preserve">registered on the Total Mobility Scheme, made up of </w:t>
      </w:r>
      <w:r w:rsidRPr="005465E2">
        <w:t>the taxi fleet</w:t>
      </w:r>
      <w:r>
        <w:t xml:space="preserve"> and </w:t>
      </w:r>
      <w:r w:rsidRPr="005465E2">
        <w:t>other small passenger service vehicles operating hoists under this scheme.</w:t>
      </w:r>
      <w:r>
        <w:t xml:space="preserve"> The Total Mobility Scheme </w:t>
      </w:r>
      <w:r w:rsidRPr="00913F17">
        <w:t>assists eligible people, with long term impairments to access appropriate transport to meet their daily needs and enhance their community participation. This assistance is provided in the form of subsidised door to door transport services wherever scheme transport providers operate.</w:t>
      </w:r>
    </w:p>
  </w:footnote>
  <w:footnote w:id="95">
    <w:p w:rsidR="003A486D" w:rsidRPr="00C46F0F" w:rsidRDefault="003A486D" w:rsidP="005C6961">
      <w:pPr>
        <w:pStyle w:val="FootnoteText"/>
        <w:rPr>
          <w:lang w:val="en-US"/>
        </w:rPr>
      </w:pPr>
      <w:r>
        <w:rPr>
          <w:rStyle w:val="FootnoteReference"/>
        </w:rPr>
        <w:footnoteRef/>
      </w:r>
      <w:r>
        <w:t xml:space="preserve"> S</w:t>
      </w:r>
      <w:r w:rsidRPr="001B2A28">
        <w:t xml:space="preserve">ource NZTA’s PT Performance data tool </w:t>
      </w:r>
      <w:hyperlink r:id="rId60" w:history="1">
        <w:r w:rsidRPr="00F10D1F">
          <w:rPr>
            <w:rStyle w:val="Hyperlink"/>
          </w:rPr>
          <w:t>http://www.nzta.govt.nz/assets/userfiles/transport-data/PTPerformance.html</w:t>
        </w:r>
      </w:hyperlink>
      <w:r>
        <w:t>.  R</w:t>
      </w:r>
      <w:r w:rsidRPr="005465E2">
        <w:t xml:space="preserve">eported to </w:t>
      </w:r>
      <w:r>
        <w:t xml:space="preserve">NZTA by </w:t>
      </w:r>
      <w:r w:rsidRPr="005465E2">
        <w:t>regional councils and Auckland Transport</w:t>
      </w:r>
      <w:r>
        <w:t xml:space="preserve">. </w:t>
      </w:r>
      <w:r w:rsidRPr="001B2A28">
        <w:t xml:space="preserve">See </w:t>
      </w:r>
      <w:hyperlink r:id="rId61" w:history="1">
        <w:r w:rsidRPr="00F10D1F">
          <w:rPr>
            <w:rStyle w:val="Hyperlink"/>
          </w:rPr>
          <w:t>www.transport.govt.nz/assets/Uploads/About/Documents/Accessibility-report.pdf</w:t>
        </w:r>
      </w:hyperlink>
      <w:r>
        <w:t xml:space="preserve">  </w:t>
      </w:r>
      <w:r w:rsidRPr="00237D85">
        <w:t>All buses operating in Rotorua, Canterbury, Gisborne, Hawkes Bay, Marlborough, Whangarei and Waikato are accessible.</w:t>
      </w:r>
    </w:p>
  </w:footnote>
  <w:footnote w:id="96">
    <w:p w:rsidR="003A486D" w:rsidRPr="006A6129" w:rsidRDefault="003A486D" w:rsidP="005C6961">
      <w:pPr>
        <w:pStyle w:val="FootnoteText"/>
        <w:rPr>
          <w:lang w:val="en-NZ"/>
        </w:rPr>
      </w:pPr>
      <w:r>
        <w:rPr>
          <w:rStyle w:val="FootnoteReference"/>
        </w:rPr>
        <w:footnoteRef/>
      </w:r>
      <w:r>
        <w:t xml:space="preserve"> </w:t>
      </w:r>
      <w:r w:rsidRPr="00545DB2">
        <w:rPr>
          <w:lang w:val="en-NZ"/>
        </w:rPr>
        <w:t xml:space="preserve">CDEM agencies are all those agencies with roles and responsibilities as set out in </w:t>
      </w:r>
      <w:r>
        <w:rPr>
          <w:lang w:val="en-NZ"/>
        </w:rPr>
        <w:t xml:space="preserve">the </w:t>
      </w:r>
      <w:r w:rsidRPr="00913F17">
        <w:rPr>
          <w:lang w:val="en-NZ"/>
        </w:rPr>
        <w:t>National Civil Defence Emergency Management Plan Order 2015</w:t>
      </w:r>
      <w:r w:rsidRPr="00545DB2">
        <w:rPr>
          <w:lang w:val="en-NZ"/>
        </w:rPr>
        <w:t>. This totals over 60 organisations including central government, local government, lifeline utilities, and non-government organisations.</w:t>
      </w:r>
    </w:p>
  </w:footnote>
  <w:footnote w:id="97">
    <w:p w:rsidR="003A486D" w:rsidRPr="00935224" w:rsidRDefault="003A486D" w:rsidP="005C6961">
      <w:pPr>
        <w:pStyle w:val="FootnoteText"/>
        <w:rPr>
          <w:lang w:val="en-NZ"/>
        </w:rPr>
      </w:pPr>
      <w:r>
        <w:rPr>
          <w:rStyle w:val="FootnoteReference"/>
        </w:rPr>
        <w:footnoteRef/>
      </w:r>
      <w:r>
        <w:t xml:space="preserve"> </w:t>
      </w:r>
      <w:r>
        <w:rPr>
          <w:lang w:val="en-NZ"/>
        </w:rPr>
        <w:t>Deaf Aotearoa New Zealand Tāngata Turi is “</w:t>
      </w:r>
      <w:r w:rsidRPr="00935224">
        <w:rPr>
          <w:lang w:val="en-NZ"/>
        </w:rPr>
        <w:t>a national organisation representing the voice of Deaf people, and the national service provider f</w:t>
      </w:r>
      <w:r>
        <w:rPr>
          <w:lang w:val="en-NZ"/>
        </w:rPr>
        <w:t xml:space="preserve">or Deaf people in New Zealand”. See </w:t>
      </w:r>
      <w:hyperlink r:id="rId62" w:history="1">
        <w:r w:rsidRPr="00F10D1F">
          <w:rPr>
            <w:rStyle w:val="Hyperlink"/>
            <w:lang w:val="en-NZ"/>
          </w:rPr>
          <w:t>http://deaf.org.nz/</w:t>
        </w:r>
      </w:hyperlink>
      <w:r>
        <w:rPr>
          <w:lang w:val="en-NZ"/>
        </w:rPr>
        <w:t xml:space="preserve">  </w:t>
      </w:r>
    </w:p>
  </w:footnote>
  <w:footnote w:id="98">
    <w:p w:rsidR="003A486D" w:rsidRPr="00D40D66" w:rsidRDefault="003A486D" w:rsidP="005C6961">
      <w:pPr>
        <w:pStyle w:val="FootnoteText"/>
        <w:rPr>
          <w:lang w:val="en-NZ"/>
        </w:rPr>
      </w:pPr>
      <w:r>
        <w:rPr>
          <w:rStyle w:val="FootnoteReference"/>
        </w:rPr>
        <w:footnoteRef/>
      </w:r>
      <w:r>
        <w:t xml:space="preserve"> </w:t>
      </w:r>
      <w:r w:rsidRPr="00D40D66">
        <w:t>These interpreters are mindful of the need to communicate information in ways that Deaf people with lower levels of literacy can understand.</w:t>
      </w:r>
    </w:p>
  </w:footnote>
  <w:footnote w:id="99">
    <w:p w:rsidR="003A486D" w:rsidRPr="00BC2726" w:rsidRDefault="003A486D" w:rsidP="005C6961">
      <w:pPr>
        <w:pStyle w:val="FootnoteText"/>
        <w:rPr>
          <w:lang w:val="en-NZ"/>
        </w:rPr>
      </w:pPr>
      <w:r>
        <w:rPr>
          <w:rStyle w:val="FootnoteReference"/>
        </w:rPr>
        <w:footnoteRef/>
      </w:r>
      <w:r>
        <w:t xml:space="preserve"> </w:t>
      </w:r>
      <w:r>
        <w:rPr>
          <w:lang w:val="en-NZ"/>
        </w:rPr>
        <w:t xml:space="preserve">The Protection of Personal and Property Rights Act 1988 provides for the protection and </w:t>
      </w:r>
      <w:r w:rsidRPr="00BC2726">
        <w:rPr>
          <w:lang w:val="en-NZ"/>
        </w:rPr>
        <w:t xml:space="preserve"> </w:t>
      </w:r>
      <w:r>
        <w:rPr>
          <w:lang w:val="en-NZ"/>
        </w:rPr>
        <w:t>p</w:t>
      </w:r>
      <w:r w:rsidRPr="00BC2726">
        <w:rPr>
          <w:lang w:val="en-NZ"/>
        </w:rPr>
        <w:t>romotion of the personal and property rights of persons who are not fully able to manage their own affairs.</w:t>
      </w:r>
      <w:r>
        <w:rPr>
          <w:lang w:val="en-NZ"/>
        </w:rPr>
        <w:t xml:space="preserve"> </w:t>
      </w:r>
      <w:r w:rsidRPr="00BC2726">
        <w:rPr>
          <w:lang w:val="en-NZ"/>
        </w:rPr>
        <w:t xml:space="preserve">There are currently no plans to revise </w:t>
      </w:r>
      <w:r>
        <w:rPr>
          <w:lang w:val="en-NZ"/>
        </w:rPr>
        <w:t>this</w:t>
      </w:r>
      <w:r w:rsidRPr="00BC2726">
        <w:rPr>
          <w:lang w:val="en-NZ"/>
        </w:rPr>
        <w:t xml:space="preserve"> Act.</w:t>
      </w:r>
    </w:p>
  </w:footnote>
  <w:footnote w:id="100">
    <w:p w:rsidR="003A486D" w:rsidRPr="00285D99" w:rsidRDefault="003A486D" w:rsidP="005C6961">
      <w:pPr>
        <w:pStyle w:val="FootnoteText"/>
        <w:rPr>
          <w:lang w:val="en-US"/>
        </w:rPr>
      </w:pPr>
      <w:r>
        <w:rPr>
          <w:rStyle w:val="FootnoteReference"/>
        </w:rPr>
        <w:footnoteRef/>
      </w:r>
      <w:r>
        <w:t xml:space="preserve"> See </w:t>
      </w:r>
      <w:hyperlink r:id="rId63" w:history="1">
        <w:r w:rsidRPr="00F10D1F">
          <w:rPr>
            <w:rStyle w:val="Hyperlink"/>
          </w:rPr>
          <w:t>www.hdc.org.nz/your-rights/about-the-code/code-of-health-and-disability-services-consumers-rights/</w:t>
        </w:r>
      </w:hyperlink>
      <w:r>
        <w:t xml:space="preserve"> </w:t>
      </w:r>
    </w:p>
  </w:footnote>
  <w:footnote w:id="101">
    <w:p w:rsidR="003A486D" w:rsidRPr="00EA6F3F" w:rsidRDefault="003A486D" w:rsidP="005C6961">
      <w:pPr>
        <w:pStyle w:val="FootnoteText"/>
        <w:rPr>
          <w:lang w:val="en-US"/>
        </w:rPr>
      </w:pPr>
      <w:r>
        <w:rPr>
          <w:rStyle w:val="FootnoteReference"/>
        </w:rPr>
        <w:footnoteRef/>
      </w:r>
      <w:r>
        <w:t xml:space="preserve"> See </w:t>
      </w:r>
      <w:hyperlink r:id="rId64" w:history="1">
        <w:r w:rsidRPr="00F10D1F">
          <w:rPr>
            <w:rStyle w:val="Hyperlink"/>
          </w:rPr>
          <w:t>www.hdc.org.nz/your-rights/about-the-code/code-of-health-and-disability-services-consumers-rights/</w:t>
        </w:r>
      </w:hyperlink>
      <w:r>
        <w:t xml:space="preserve"> </w:t>
      </w:r>
    </w:p>
  </w:footnote>
  <w:footnote w:id="102">
    <w:p w:rsidR="003A486D" w:rsidRPr="00285D99" w:rsidRDefault="003A486D" w:rsidP="005C6961">
      <w:pPr>
        <w:pStyle w:val="FootnoteText"/>
        <w:rPr>
          <w:lang w:val="en-US"/>
        </w:rPr>
      </w:pPr>
      <w:r>
        <w:rPr>
          <w:rStyle w:val="FootnoteReference"/>
        </w:rPr>
        <w:footnoteRef/>
      </w:r>
      <w:r>
        <w:t xml:space="preserve"> See </w:t>
      </w:r>
      <w:hyperlink r:id="rId65" w:history="1">
        <w:r w:rsidRPr="00F10D1F">
          <w:rPr>
            <w:rStyle w:val="Hyperlink"/>
          </w:rPr>
          <w:t>www.health.govt.nz/publication/funded-family-care-operational-policy</w:t>
        </w:r>
      </w:hyperlink>
      <w:r>
        <w:t xml:space="preserve"> </w:t>
      </w:r>
    </w:p>
  </w:footnote>
  <w:footnote w:id="103">
    <w:p w:rsidR="003A486D" w:rsidRPr="005A67F2" w:rsidRDefault="003A486D" w:rsidP="005C6961">
      <w:pPr>
        <w:pStyle w:val="FootnoteText"/>
        <w:rPr>
          <w:lang w:val="en-NZ"/>
        </w:rPr>
      </w:pPr>
      <w:r>
        <w:rPr>
          <w:rStyle w:val="FootnoteReference"/>
        </w:rPr>
        <w:footnoteRef/>
      </w:r>
      <w:r>
        <w:t xml:space="preserve"> </w:t>
      </w:r>
      <w:r>
        <w:rPr>
          <w:lang w:val="en-NZ"/>
        </w:rPr>
        <w:t>Ministry of Justice data</w:t>
      </w:r>
    </w:p>
  </w:footnote>
  <w:footnote w:id="104">
    <w:p w:rsidR="003A486D" w:rsidRPr="003A32C3" w:rsidRDefault="003A486D" w:rsidP="005C6961">
      <w:pPr>
        <w:pStyle w:val="FootnoteText"/>
        <w:rPr>
          <w:lang w:val="en-NZ"/>
        </w:rPr>
      </w:pPr>
      <w:r>
        <w:rPr>
          <w:rStyle w:val="FootnoteReference"/>
        </w:rPr>
        <w:footnoteRef/>
      </w:r>
      <w:r>
        <w:t xml:space="preserve"> </w:t>
      </w:r>
      <w:r w:rsidRPr="003A32C3">
        <w:t xml:space="preserve">The Accident Compensation (Review Costs and Appeals) Regulations 2002 stipulate amounts. The prescribed amounts were increased in June 2017 and are being further reviewed by </w:t>
      </w:r>
      <w:r>
        <w:t>the Ministry of Business, Innovation and Employment.</w:t>
      </w:r>
    </w:p>
  </w:footnote>
  <w:footnote w:id="105">
    <w:p w:rsidR="003A486D" w:rsidRDefault="003A486D" w:rsidP="005C6961">
      <w:pPr>
        <w:pStyle w:val="FootnoteText"/>
        <w:rPr>
          <w:lang w:val="en-NZ"/>
        </w:rPr>
      </w:pPr>
      <w:r>
        <w:rPr>
          <w:rStyle w:val="FootnoteReference"/>
          <w:rFonts w:cstheme="minorBidi"/>
        </w:rPr>
        <w:footnoteRef/>
      </w:r>
      <w:r>
        <w:t xml:space="preserve"> </w:t>
      </w:r>
      <w:r>
        <w:rPr>
          <w:lang w:val="en-NZ"/>
        </w:rPr>
        <w:t xml:space="preserve">This is </w:t>
      </w:r>
      <w:r>
        <w:t>more than four times the number served by the existing ACC-funded advocacy services.</w:t>
      </w:r>
    </w:p>
  </w:footnote>
  <w:footnote w:id="106">
    <w:p w:rsidR="003A486D" w:rsidRDefault="003A486D" w:rsidP="005C6961">
      <w:pPr>
        <w:pStyle w:val="FootnoteText"/>
        <w:rPr>
          <w:rFonts w:asciiTheme="minorHAnsi" w:hAnsiTheme="minorHAnsi" w:cstheme="minorBidi"/>
          <w:sz w:val="20"/>
          <w:lang w:val="en-NZ"/>
        </w:rPr>
      </w:pPr>
      <w:r>
        <w:rPr>
          <w:rStyle w:val="FootnoteReference"/>
          <w:rFonts w:cstheme="minorBidi"/>
        </w:rPr>
        <w:footnoteRef/>
      </w:r>
      <w:r>
        <w:t xml:space="preserve"> </w:t>
      </w:r>
      <w:r>
        <w:rPr>
          <w:lang w:val="en-NZ"/>
        </w:rPr>
        <w:t>This was a recommendation from ‘Miriam Dean QCs Independent Review of Acclaim Otago’s Report into Accident Compensation Dispute Resolution Processes (the Independent Review)’. One of the Independent Review’s recommendations is for ACC to consider funding a free nationwide advocacy service and promote advocacy organisations.</w:t>
      </w:r>
    </w:p>
  </w:footnote>
  <w:footnote w:id="107">
    <w:p w:rsidR="003A486D" w:rsidRPr="00EB0F8F" w:rsidRDefault="003A486D" w:rsidP="005C6961">
      <w:pPr>
        <w:pStyle w:val="FootnoteText"/>
        <w:rPr>
          <w:lang w:val="en-NZ"/>
        </w:rPr>
      </w:pPr>
      <w:r>
        <w:rPr>
          <w:rStyle w:val="FootnoteReference"/>
        </w:rPr>
        <w:footnoteRef/>
      </w:r>
      <w:r>
        <w:t xml:space="preserve"> Reviewers are independent contractors who serve as adjudicators.</w:t>
      </w:r>
    </w:p>
  </w:footnote>
  <w:footnote w:id="108">
    <w:p w:rsidR="003A486D" w:rsidRPr="0038539A" w:rsidRDefault="003A486D" w:rsidP="005C6961">
      <w:pPr>
        <w:pStyle w:val="FootnoteText"/>
        <w:rPr>
          <w:lang w:val="en-US"/>
        </w:rPr>
      </w:pPr>
      <w:r>
        <w:rPr>
          <w:rStyle w:val="FootnoteReference"/>
        </w:rPr>
        <w:footnoteRef/>
      </w:r>
      <w:r>
        <w:t xml:space="preserve"> </w:t>
      </w:r>
      <w:r w:rsidRPr="00B7202E">
        <w:t>The Tribunals Powers and Procedures Bill</w:t>
      </w:r>
      <w:r>
        <w:t xml:space="preserve"> – enacted 13 November 2018.</w:t>
      </w:r>
    </w:p>
  </w:footnote>
  <w:footnote w:id="109">
    <w:p w:rsidR="003A486D" w:rsidRPr="0061157A" w:rsidRDefault="003A486D" w:rsidP="005C6961">
      <w:pPr>
        <w:pStyle w:val="FootnoteText"/>
        <w:rPr>
          <w:lang w:val="en-NZ"/>
        </w:rPr>
      </w:pPr>
      <w:r>
        <w:rPr>
          <w:rStyle w:val="FootnoteReference"/>
        </w:rPr>
        <w:footnoteRef/>
      </w:r>
      <w:r>
        <w:t xml:space="preserve"> </w:t>
      </w:r>
      <w:r w:rsidRPr="0061157A">
        <w:t>Legal aid is available</w:t>
      </w:r>
      <w:r w:rsidRPr="0061157A" w:rsidDel="003A1C8C">
        <w:t xml:space="preserve"> </w:t>
      </w:r>
      <w:r w:rsidRPr="0061157A">
        <w:t>for proceedings in some tribunals including the Tenancy Tribunal, Social Security Appeal Authority, and Waitangi Tribunal</w:t>
      </w:r>
      <w:r>
        <w:t>.</w:t>
      </w:r>
    </w:p>
  </w:footnote>
  <w:footnote w:id="110">
    <w:p w:rsidR="003A486D" w:rsidRPr="00B0693A" w:rsidRDefault="003A486D" w:rsidP="005C6961">
      <w:pPr>
        <w:pStyle w:val="FootnoteText"/>
        <w:rPr>
          <w:lang w:val="en-NZ"/>
        </w:rPr>
      </w:pPr>
      <w:r>
        <w:rPr>
          <w:rStyle w:val="FootnoteReference"/>
        </w:rPr>
        <w:footnoteRef/>
      </w:r>
      <w:r>
        <w:t xml:space="preserve"> See </w:t>
      </w:r>
      <w:hyperlink r:id="rId66" w:history="1">
        <w:r w:rsidRPr="00FF51D1">
          <w:rPr>
            <w:rStyle w:val="Hyperlink"/>
          </w:rPr>
          <w:t>www.pmcsa.org.nz/wp-content/uploads/Discussion-paper-on-preventing-youth-offending-in-NZ.pdf</w:t>
        </w:r>
      </w:hyperlink>
      <w:r>
        <w:t xml:space="preserve"> for: </w:t>
      </w:r>
      <w:r w:rsidRPr="00B0693A">
        <w:rPr>
          <w:i/>
        </w:rPr>
        <w:t>It’s never too early, never too late: A discussion paper on preventing youth offending in New Zealand</w:t>
      </w:r>
      <w:r>
        <w:t>, 12 June 2018, Office of the Prime Minister’s Chief Science Advisor. Page 18 draws on international evidence on mental health and developmental disorders, noting that in NZ, 92% of young people in youth-justice residences showed significant difficulties in at least one area of achievement (IQ, attention, literacy, numeracy, verbal abilities).</w:t>
      </w:r>
    </w:p>
  </w:footnote>
  <w:footnote w:id="111">
    <w:p w:rsidR="003A486D" w:rsidRPr="00EE17E8" w:rsidRDefault="003A486D" w:rsidP="005C6961">
      <w:pPr>
        <w:pStyle w:val="FootnoteText"/>
        <w:rPr>
          <w:lang w:val="en-NZ"/>
        </w:rPr>
      </w:pPr>
      <w:r>
        <w:rPr>
          <w:rStyle w:val="FootnoteReference"/>
        </w:rPr>
        <w:footnoteRef/>
      </w:r>
      <w:r>
        <w:t xml:space="preserve"> </w:t>
      </w:r>
      <w:r>
        <w:rPr>
          <w:lang w:val="en-NZ"/>
        </w:rPr>
        <w:t xml:space="preserve">See </w:t>
      </w:r>
      <w:hyperlink r:id="rId67" w:history="1">
        <w:r w:rsidRPr="00571A78">
          <w:rPr>
            <w:rStyle w:val="Hyperlink"/>
            <w:lang w:val="en-NZ"/>
          </w:rPr>
          <w:t>www.growingup.co.nz/en.html</w:t>
        </w:r>
      </w:hyperlink>
      <w:r>
        <w:rPr>
          <w:lang w:val="en-NZ"/>
        </w:rPr>
        <w:t xml:space="preserve"> </w:t>
      </w:r>
    </w:p>
  </w:footnote>
  <w:footnote w:id="112">
    <w:p w:rsidR="003A486D" w:rsidRPr="00F17337" w:rsidRDefault="003A486D" w:rsidP="005C6961">
      <w:pPr>
        <w:pStyle w:val="FootnoteText"/>
        <w:rPr>
          <w:lang w:val="en-NZ"/>
        </w:rPr>
      </w:pPr>
      <w:r>
        <w:rPr>
          <w:rStyle w:val="FootnoteReference"/>
        </w:rPr>
        <w:footnoteRef/>
      </w:r>
      <w:r>
        <w:t xml:space="preserve"> In our 2015 response to the Concluding Observations, we </w:t>
      </w:r>
      <w:r w:rsidRPr="00997FFE">
        <w:t>noted that in New Zealand’s system of government, the principle of judicial independence requires that the Government does not direct the Institute of Judicial Studies as to the provision of educational resources for the Judiciary.</w:t>
      </w:r>
    </w:p>
  </w:footnote>
  <w:footnote w:id="113">
    <w:p w:rsidR="003A486D" w:rsidRPr="00FF123A" w:rsidRDefault="003A486D" w:rsidP="005C6961">
      <w:pPr>
        <w:pStyle w:val="FootnoteText"/>
        <w:rPr>
          <w:lang w:val="en-NZ"/>
        </w:rPr>
      </w:pPr>
      <w:r>
        <w:rPr>
          <w:rStyle w:val="FootnoteReference"/>
        </w:rPr>
        <w:footnoteRef/>
      </w:r>
      <w:r>
        <w:t xml:space="preserve"> </w:t>
      </w:r>
      <w:r>
        <w:rPr>
          <w:lang w:val="en-NZ"/>
        </w:rPr>
        <w:t xml:space="preserve">“He ara oranga” is Te Reo meaning “pathways to wellness”. See </w:t>
      </w:r>
      <w:hyperlink r:id="rId68" w:history="1">
        <w:r w:rsidRPr="001665AE">
          <w:rPr>
            <w:rStyle w:val="Hyperlink"/>
            <w:lang w:val="en-NZ"/>
          </w:rPr>
          <w:t>https://www.mentalhealth.inquiry.govt.nz/inquiry-report/</w:t>
        </w:r>
      </w:hyperlink>
      <w:r>
        <w:rPr>
          <w:lang w:val="en-NZ"/>
        </w:rPr>
        <w:t xml:space="preserve">  </w:t>
      </w:r>
    </w:p>
  </w:footnote>
  <w:footnote w:id="114">
    <w:p w:rsidR="003A486D" w:rsidRPr="00CB30F1" w:rsidRDefault="003A486D" w:rsidP="005C6961">
      <w:pPr>
        <w:pStyle w:val="FootnoteText"/>
        <w:rPr>
          <w:lang w:val="en-NZ"/>
        </w:rPr>
      </w:pPr>
      <w:r>
        <w:rPr>
          <w:rStyle w:val="FootnoteReference"/>
        </w:rPr>
        <w:footnoteRef/>
      </w:r>
      <w:r>
        <w:t xml:space="preserve"> </w:t>
      </w:r>
      <w:r w:rsidRPr="00CB30F1">
        <w:t>In 2018, the Government initiated an Inquiry into Mental Health and Addiction to identify how to better serve people’s needs and improve the mental health and addiction system. The Inquiry report is available at</w:t>
      </w:r>
      <w:r>
        <w:t>:</w:t>
      </w:r>
      <w:r w:rsidRPr="00CB30F1">
        <w:t xml:space="preserve"> </w:t>
      </w:r>
      <w:hyperlink r:id="rId69" w:history="1">
        <w:r w:rsidRPr="009F6A53">
          <w:rPr>
            <w:rStyle w:val="Hyperlink"/>
          </w:rPr>
          <w:t>https://mentalhealth.inquiry.govt.nz/inquiry-report/he-ara-oranga/</w:t>
        </w:r>
      </w:hyperlink>
      <w:r w:rsidRPr="00CB30F1">
        <w:t>.</w:t>
      </w:r>
      <w:r>
        <w:t xml:space="preserve"> </w:t>
      </w:r>
    </w:p>
  </w:footnote>
  <w:footnote w:id="115">
    <w:p w:rsidR="003A486D" w:rsidRPr="00B27C1A" w:rsidRDefault="003A486D" w:rsidP="005C6961">
      <w:pPr>
        <w:pStyle w:val="FootnoteText"/>
        <w:rPr>
          <w:lang w:val="en-NZ"/>
        </w:rPr>
      </w:pPr>
      <w:r>
        <w:rPr>
          <w:rStyle w:val="FootnoteReference"/>
        </w:rPr>
        <w:footnoteRef/>
      </w:r>
      <w:r>
        <w:t xml:space="preserve"> </w:t>
      </w:r>
      <w:r>
        <w:rPr>
          <w:lang w:val="en-NZ"/>
        </w:rPr>
        <w:t xml:space="preserve">This was action 9(d) of the </w:t>
      </w:r>
      <w:r>
        <w:rPr>
          <w:i/>
          <w:lang w:val="en-NZ"/>
        </w:rPr>
        <w:t xml:space="preserve">Disability Action Plan 2014-2018. </w:t>
      </w:r>
      <w:r>
        <w:rPr>
          <w:lang w:val="en-NZ"/>
        </w:rPr>
        <w:t xml:space="preserve">See </w:t>
      </w:r>
      <w:hyperlink r:id="rId70" w:history="1">
        <w:r w:rsidRPr="00571A78">
          <w:rPr>
            <w:rStyle w:val="Hyperlink"/>
            <w:lang w:val="en-NZ"/>
          </w:rPr>
          <w:t>www.odi.govt.nz/nz-disability-strategy/outcome-7-choice-and-control/</w:t>
        </w:r>
      </w:hyperlink>
      <w:r>
        <w:rPr>
          <w:lang w:val="en-NZ"/>
        </w:rPr>
        <w:t xml:space="preserve"> </w:t>
      </w:r>
    </w:p>
  </w:footnote>
  <w:footnote w:id="116">
    <w:p w:rsidR="003A486D" w:rsidRPr="00692A3E" w:rsidRDefault="003A486D" w:rsidP="005C6961">
      <w:pPr>
        <w:pStyle w:val="FootnoteText"/>
        <w:rPr>
          <w:lang w:val="en-NZ"/>
        </w:rPr>
      </w:pPr>
      <w:r>
        <w:rPr>
          <w:rStyle w:val="FootnoteReference"/>
        </w:rPr>
        <w:footnoteRef/>
      </w:r>
      <w:r w:rsidRPr="00373067">
        <w:t>Further information on the Tribunal’s activities is published annually in the Office of the Director of Mental Health Annual Report, available on the Ministry of Health website</w:t>
      </w:r>
      <w:r>
        <w:t>.</w:t>
      </w:r>
    </w:p>
  </w:footnote>
  <w:footnote w:id="117">
    <w:p w:rsidR="003A486D" w:rsidRPr="00F834B2" w:rsidRDefault="003A486D" w:rsidP="005C6961">
      <w:pPr>
        <w:pStyle w:val="FootnoteText"/>
        <w:rPr>
          <w:lang w:val="en-NZ"/>
        </w:rPr>
      </w:pPr>
      <w:r>
        <w:rPr>
          <w:rStyle w:val="FootnoteReference"/>
        </w:rPr>
        <w:footnoteRef/>
      </w:r>
      <w:r>
        <w:t xml:space="preserve"> </w:t>
      </w:r>
      <w:r>
        <w:rPr>
          <w:lang w:val="en-NZ"/>
        </w:rPr>
        <w:t xml:space="preserve">Further information on the Tribunal’s activities is published annually in the Office of the Director of Mental Health Annual Report, available on the Ministry of Health website. </w:t>
      </w:r>
    </w:p>
  </w:footnote>
  <w:footnote w:id="118">
    <w:p w:rsidR="003A486D" w:rsidRPr="00FF123A" w:rsidRDefault="003A486D" w:rsidP="005C6961">
      <w:pPr>
        <w:pStyle w:val="FootnoteText"/>
        <w:rPr>
          <w:lang w:val="en-NZ"/>
        </w:rPr>
      </w:pPr>
      <w:r>
        <w:rPr>
          <w:rStyle w:val="FootnoteReference"/>
        </w:rPr>
        <w:footnoteRef/>
      </w:r>
      <w:r>
        <w:t xml:space="preserve"> </w:t>
      </w:r>
      <w:r>
        <w:rPr>
          <w:lang w:val="en-NZ"/>
        </w:rPr>
        <w:t xml:space="preserve">District Inspectors are </w:t>
      </w:r>
      <w:r w:rsidRPr="00104387">
        <w:rPr>
          <w:lang w:val="en-NZ"/>
        </w:rPr>
        <w:t>lawyers appoin</w:t>
      </w:r>
      <w:r>
        <w:rPr>
          <w:lang w:val="en-NZ"/>
        </w:rPr>
        <w:t>ted under the Mental Health Act.</w:t>
      </w:r>
    </w:p>
  </w:footnote>
  <w:footnote w:id="119">
    <w:p w:rsidR="003A486D" w:rsidRPr="002115A3" w:rsidRDefault="003A486D" w:rsidP="005C6961">
      <w:pPr>
        <w:pStyle w:val="FootnoteText"/>
        <w:rPr>
          <w:lang w:val="en-NZ"/>
        </w:rPr>
      </w:pPr>
      <w:r>
        <w:rPr>
          <w:rStyle w:val="FootnoteReference"/>
        </w:rPr>
        <w:footnoteRef/>
      </w:r>
      <w:r>
        <w:t xml:space="preserve"> </w:t>
      </w:r>
      <w:r w:rsidRPr="00DB2240">
        <w:t>Intellectual Disability (Compulsory Care and Rehabilitation) Act 2003</w:t>
      </w:r>
      <w:r>
        <w:t>, Section 72</w:t>
      </w:r>
    </w:p>
  </w:footnote>
  <w:footnote w:id="120">
    <w:p w:rsidR="003A486D" w:rsidRPr="002115A3" w:rsidRDefault="003A486D" w:rsidP="005C6961">
      <w:pPr>
        <w:pStyle w:val="FootnoteText"/>
        <w:rPr>
          <w:lang w:val="en-NZ"/>
        </w:rPr>
      </w:pPr>
      <w:r>
        <w:rPr>
          <w:rStyle w:val="FootnoteReference"/>
        </w:rPr>
        <w:footnoteRef/>
      </w:r>
      <w:r>
        <w:t xml:space="preserve"> </w:t>
      </w:r>
      <w:r w:rsidRPr="00DB2240">
        <w:t>Intellectual Disability (Compulsory Care and Rehabilitation) Act 2003</w:t>
      </w:r>
      <w:r>
        <w:t xml:space="preserve">, </w:t>
      </w:r>
      <w:r>
        <w:rPr>
          <w:lang w:val="en-NZ"/>
        </w:rPr>
        <w:t xml:space="preserve">Section 74 </w:t>
      </w:r>
    </w:p>
  </w:footnote>
  <w:footnote w:id="121">
    <w:p w:rsidR="003A486D" w:rsidRPr="002115A3" w:rsidRDefault="003A486D" w:rsidP="005C6961">
      <w:pPr>
        <w:pStyle w:val="FootnoteText"/>
        <w:rPr>
          <w:lang w:val="en-NZ"/>
        </w:rPr>
      </w:pPr>
      <w:r>
        <w:rPr>
          <w:rStyle w:val="FootnoteReference"/>
        </w:rPr>
        <w:footnoteRef/>
      </w:r>
      <w:r>
        <w:t xml:space="preserve"> </w:t>
      </w:r>
      <w:r w:rsidRPr="00DB2240">
        <w:t>Intellectual Disability (Compulsory Care and Rehabilitation) Act 2003</w:t>
      </w:r>
      <w:r>
        <w:t>, Section 77</w:t>
      </w:r>
    </w:p>
  </w:footnote>
  <w:footnote w:id="122">
    <w:p w:rsidR="003A486D" w:rsidRPr="002115A3" w:rsidRDefault="003A486D" w:rsidP="005C6961">
      <w:pPr>
        <w:pStyle w:val="FootnoteText"/>
        <w:rPr>
          <w:lang w:val="en-NZ"/>
        </w:rPr>
      </w:pPr>
      <w:r>
        <w:rPr>
          <w:rStyle w:val="FootnoteReference"/>
        </w:rPr>
        <w:footnoteRef/>
      </w:r>
      <w:r>
        <w:t xml:space="preserve"> </w:t>
      </w:r>
      <w:r w:rsidRPr="00DB2240">
        <w:t>Intellectual Disability (Compulsory Care and Rehabilitation) Act 2003</w:t>
      </w:r>
      <w:r>
        <w:t>, Part 7</w:t>
      </w:r>
    </w:p>
  </w:footnote>
  <w:footnote w:id="123">
    <w:p w:rsidR="003A486D" w:rsidRPr="00C46F0F" w:rsidRDefault="003A486D" w:rsidP="005C6961">
      <w:pPr>
        <w:pStyle w:val="FootnoteText"/>
        <w:rPr>
          <w:lang w:val="en-US"/>
        </w:rPr>
      </w:pPr>
      <w:r>
        <w:rPr>
          <w:rStyle w:val="FootnoteReference"/>
        </w:rPr>
        <w:footnoteRef/>
      </w:r>
      <w:r>
        <w:t xml:space="preserve"> </w:t>
      </w:r>
      <w:r>
        <w:rPr>
          <w:lang w:val="en-US"/>
        </w:rPr>
        <w:t>Criminal Procedure (Mentally Impaired Persons) Act 2003, sections 8A, 10 – 13.</w:t>
      </w:r>
    </w:p>
  </w:footnote>
  <w:footnote w:id="124">
    <w:p w:rsidR="003A486D" w:rsidRPr="002972C4" w:rsidRDefault="003A486D" w:rsidP="005C6961">
      <w:pPr>
        <w:pStyle w:val="FootnoteText"/>
        <w:rPr>
          <w:lang w:val="en-NZ"/>
        </w:rPr>
      </w:pPr>
      <w:r>
        <w:rPr>
          <w:rStyle w:val="FootnoteReference"/>
        </w:rPr>
        <w:footnoteRef/>
      </w:r>
      <w:r>
        <w:t xml:space="preserve"> </w:t>
      </w:r>
      <w:r>
        <w:rPr>
          <w:lang w:val="en-US"/>
        </w:rPr>
        <w:t>Criminal Procedure (Mentally Impaired Persons) Act 2003, section 24</w:t>
      </w:r>
    </w:p>
  </w:footnote>
  <w:footnote w:id="125">
    <w:p w:rsidR="003A486D" w:rsidRPr="00403957" w:rsidRDefault="003A486D" w:rsidP="005C6961">
      <w:pPr>
        <w:pStyle w:val="FootnoteText"/>
        <w:rPr>
          <w:lang w:val="en-NZ"/>
        </w:rPr>
      </w:pPr>
      <w:r>
        <w:rPr>
          <w:rStyle w:val="FootnoteReference"/>
        </w:rPr>
        <w:footnoteRef/>
      </w:r>
      <w:r>
        <w:t xml:space="preserve"> </w:t>
      </w:r>
      <w:r w:rsidRPr="00403957">
        <w:t>Between 2014 and 2017, there was a 10.5</w:t>
      </w:r>
      <w:r>
        <w:t>%</w:t>
      </w:r>
      <w:r w:rsidRPr="00403957">
        <w:t xml:space="preserve"> decrease in the number of seclusion hours but a 5.3</w:t>
      </w:r>
      <w:r>
        <w:t>%</w:t>
      </w:r>
      <w:r w:rsidRPr="00403957">
        <w:t xml:space="preserve"> increase in the number of people secluded in adult mental health services. The downward trend in the use of seclusion has recently steadied.</w:t>
      </w:r>
    </w:p>
  </w:footnote>
  <w:footnote w:id="126">
    <w:p w:rsidR="003A486D" w:rsidRPr="006937BD" w:rsidRDefault="003A486D" w:rsidP="005C6961">
      <w:pPr>
        <w:pStyle w:val="FootnoteText"/>
        <w:rPr>
          <w:lang w:val="en-NZ"/>
        </w:rPr>
      </w:pPr>
      <w:r>
        <w:rPr>
          <w:rStyle w:val="FootnoteReference"/>
        </w:rPr>
        <w:footnoteRef/>
      </w:r>
      <w:r>
        <w:t xml:space="preserve"> </w:t>
      </w:r>
      <w:r>
        <w:rPr>
          <w:lang w:val="en-NZ"/>
        </w:rPr>
        <w:t xml:space="preserve">See </w:t>
      </w:r>
      <w:hyperlink r:id="rId71" w:history="1">
        <w:r w:rsidRPr="00571A78">
          <w:rPr>
            <w:rStyle w:val="Hyperlink"/>
            <w:lang w:val="en-NZ"/>
          </w:rPr>
          <w:t>www.hqsc.govt.nz/blog/why-eliminating-seclusion-by-2020-is-an-aspirational-goal/</w:t>
        </w:r>
      </w:hyperlink>
      <w:r>
        <w:rPr>
          <w:lang w:val="en-NZ"/>
        </w:rPr>
        <w:t xml:space="preserve"> </w:t>
      </w:r>
    </w:p>
  </w:footnote>
  <w:footnote w:id="127">
    <w:p w:rsidR="003A486D" w:rsidRPr="00D73D0B" w:rsidRDefault="003A486D" w:rsidP="005C6961">
      <w:pPr>
        <w:pStyle w:val="FootnoteText"/>
        <w:rPr>
          <w:lang w:val="en-NZ"/>
        </w:rPr>
      </w:pPr>
      <w:r>
        <w:rPr>
          <w:rStyle w:val="FootnoteReference"/>
        </w:rPr>
        <w:footnoteRef/>
      </w:r>
      <w:r>
        <w:t xml:space="preserve"> </w:t>
      </w:r>
      <w:r w:rsidRPr="009A70DD">
        <w:t xml:space="preserve">Māori continue to be secluded at a disproportionate rate to other groups of service users.  </w:t>
      </w:r>
    </w:p>
  </w:footnote>
  <w:footnote w:id="128">
    <w:p w:rsidR="003A486D" w:rsidRPr="006937BD" w:rsidRDefault="003A486D" w:rsidP="005C6961">
      <w:pPr>
        <w:pStyle w:val="FootnoteText"/>
        <w:rPr>
          <w:lang w:val="en-NZ"/>
        </w:rPr>
      </w:pPr>
      <w:r>
        <w:rPr>
          <w:rStyle w:val="FootnoteReference"/>
        </w:rPr>
        <w:footnoteRef/>
      </w:r>
      <w:r>
        <w:t xml:space="preserve"> </w:t>
      </w:r>
      <w:r>
        <w:rPr>
          <w:lang w:val="en-NZ"/>
        </w:rPr>
        <w:t xml:space="preserve">See </w:t>
      </w:r>
      <w:hyperlink r:id="rId72" w:history="1">
        <w:r w:rsidRPr="00571A78">
          <w:rPr>
            <w:rStyle w:val="Hyperlink"/>
            <w:lang w:val="en-NZ"/>
          </w:rPr>
          <w:t>www.tepou.co.nz/initiatives/safe-practice-effective-communication/225</w:t>
        </w:r>
      </w:hyperlink>
      <w:r>
        <w:rPr>
          <w:lang w:val="en-NZ"/>
        </w:rPr>
        <w:t xml:space="preserve"> </w:t>
      </w:r>
    </w:p>
  </w:footnote>
  <w:footnote w:id="129">
    <w:p w:rsidR="003A486D" w:rsidRPr="00664EB2" w:rsidRDefault="003A486D" w:rsidP="005C6961">
      <w:pPr>
        <w:pStyle w:val="FootnoteText"/>
        <w:rPr>
          <w:lang w:val="en-NZ"/>
        </w:rPr>
      </w:pPr>
      <w:r>
        <w:rPr>
          <w:rStyle w:val="FootnoteReference"/>
        </w:rPr>
        <w:footnoteRef/>
      </w:r>
      <w:r>
        <w:t xml:space="preserve"> See </w:t>
      </w:r>
      <w:hyperlink r:id="rId73" w:history="1">
        <w:r w:rsidRPr="00F10D1F">
          <w:rPr>
            <w:rStyle w:val="Hyperlink"/>
          </w:rPr>
          <w:t>www.health.govt.nz/publication/night-safety-procedures-transitional-guideline</w:t>
        </w:r>
      </w:hyperlink>
      <w:r>
        <w:t xml:space="preserve"> </w:t>
      </w:r>
    </w:p>
  </w:footnote>
  <w:footnote w:id="130">
    <w:p w:rsidR="003A486D" w:rsidRPr="00285D99" w:rsidRDefault="003A486D" w:rsidP="005C6961">
      <w:pPr>
        <w:pStyle w:val="FootnoteText"/>
        <w:rPr>
          <w:lang w:val="en-US"/>
        </w:rPr>
      </w:pPr>
      <w:r>
        <w:rPr>
          <w:rStyle w:val="FootnoteReference"/>
        </w:rPr>
        <w:footnoteRef/>
      </w:r>
      <w:r>
        <w:t xml:space="preserve"> See </w:t>
      </w:r>
      <w:hyperlink r:id="rId74" w:history="1">
        <w:r w:rsidRPr="00F10D1F">
          <w:rPr>
            <w:rStyle w:val="Hyperlink"/>
          </w:rPr>
          <w:t>www.health.govt.nz/publication/office-director-mental-health-annual-report-2016</w:t>
        </w:r>
      </w:hyperlink>
      <w:r>
        <w:t xml:space="preserve"> </w:t>
      </w:r>
    </w:p>
  </w:footnote>
  <w:footnote w:id="131">
    <w:p w:rsidR="003A486D" w:rsidRPr="005330D4" w:rsidRDefault="003A486D" w:rsidP="005C6961">
      <w:pPr>
        <w:pStyle w:val="FootnoteText"/>
        <w:rPr>
          <w:lang w:val="en-NZ"/>
        </w:rPr>
      </w:pPr>
      <w:r>
        <w:rPr>
          <w:rStyle w:val="FootnoteReference"/>
        </w:rPr>
        <w:footnoteRef/>
      </w:r>
      <w:r>
        <w:t xml:space="preserve"> </w:t>
      </w:r>
      <w:r w:rsidRPr="005330D4">
        <w:t xml:space="preserve">Ministry of Health, extracted </w:t>
      </w:r>
      <w:r w:rsidRPr="00135831">
        <w:rPr>
          <w:lang w:val="en-NZ"/>
        </w:rPr>
        <w:t>from PRIMHD national mental health dataset</w:t>
      </w:r>
      <w:r w:rsidRPr="005330D4">
        <w:t xml:space="preserve"> </w:t>
      </w:r>
      <w:r>
        <w:t xml:space="preserve">on </w:t>
      </w:r>
      <w:r w:rsidRPr="005330D4">
        <w:t>21/12/2018</w:t>
      </w:r>
    </w:p>
  </w:footnote>
  <w:footnote w:id="132">
    <w:p w:rsidR="003A486D" w:rsidRPr="00942A6F" w:rsidRDefault="003A486D" w:rsidP="005C6961">
      <w:pPr>
        <w:pStyle w:val="FootnoteText"/>
        <w:rPr>
          <w:lang w:val="en-NZ"/>
        </w:rPr>
      </w:pPr>
      <w:r>
        <w:rPr>
          <w:rStyle w:val="FootnoteReference"/>
        </w:rPr>
        <w:footnoteRef/>
      </w:r>
      <w:r>
        <w:t xml:space="preserve"> </w:t>
      </w:r>
      <w:r>
        <w:rPr>
          <w:lang w:val="en-NZ"/>
        </w:rPr>
        <w:t>In NZ, the Office of the Ombudsman is t</w:t>
      </w:r>
      <w:r w:rsidRPr="004F4EC3">
        <w:rPr>
          <w:lang w:val="en-NZ"/>
        </w:rPr>
        <w:t>he National Preventive Mechanism under the Optional Protocol to the Convention against Torture and Other Cruel, Inhuman or Degrading Treatment or Punishment for health and disability settings</w:t>
      </w:r>
      <w:r>
        <w:rPr>
          <w:lang w:val="en-NZ"/>
        </w:rPr>
        <w:t>.</w:t>
      </w:r>
    </w:p>
  </w:footnote>
  <w:footnote w:id="133">
    <w:p w:rsidR="003A486D" w:rsidRPr="00E964E3" w:rsidRDefault="003A486D" w:rsidP="005C6961">
      <w:pPr>
        <w:pStyle w:val="FootnoteText"/>
        <w:rPr>
          <w:lang w:val="en-NZ"/>
        </w:rPr>
      </w:pPr>
      <w:r>
        <w:rPr>
          <w:rStyle w:val="FootnoteReference"/>
        </w:rPr>
        <w:footnoteRef/>
      </w:r>
      <w:r>
        <w:t xml:space="preserve"> </w:t>
      </w:r>
      <w:r w:rsidRPr="00E964E3">
        <w:rPr>
          <w:lang w:val="en-NZ"/>
        </w:rPr>
        <w:t xml:space="preserve">The gazette notice officially changing the Ombudsman’s designation can be found at </w:t>
      </w:r>
      <w:hyperlink r:id="rId75" w:history="1">
        <w:r w:rsidRPr="00F10D1F">
          <w:rPr>
            <w:rStyle w:val="Hyperlink"/>
            <w:lang w:val="en-NZ"/>
          </w:rPr>
          <w:t>https://gazette.govt.nz/notice/id/2018-go2603</w:t>
        </w:r>
      </w:hyperlink>
      <w:r>
        <w:rPr>
          <w:lang w:val="en-NZ"/>
        </w:rPr>
        <w:t xml:space="preserve"> </w:t>
      </w:r>
    </w:p>
  </w:footnote>
  <w:footnote w:id="134">
    <w:p w:rsidR="003A486D" w:rsidRPr="00C46F0F" w:rsidRDefault="003A486D" w:rsidP="005C6961">
      <w:pPr>
        <w:pStyle w:val="FootnoteText"/>
        <w:rPr>
          <w:lang w:val="en-US"/>
        </w:rPr>
      </w:pPr>
      <w:r>
        <w:rPr>
          <w:rStyle w:val="FootnoteReference"/>
        </w:rPr>
        <w:footnoteRef/>
      </w:r>
      <w:r>
        <w:t xml:space="preserve"> See </w:t>
      </w:r>
      <w:hyperlink r:id="rId76" w:history="1">
        <w:r w:rsidRPr="00F10D1F">
          <w:rPr>
            <w:rStyle w:val="Hyperlink"/>
          </w:rPr>
          <w:t>www.health.govt.nz/our-work/regulation-health-and-disability-system/certification-health-care-services/services-standards</w:t>
        </w:r>
      </w:hyperlink>
      <w:r>
        <w:t xml:space="preserve"> </w:t>
      </w:r>
    </w:p>
  </w:footnote>
  <w:footnote w:id="135">
    <w:p w:rsidR="003A486D" w:rsidRPr="008053C0" w:rsidRDefault="003A486D" w:rsidP="005C6961">
      <w:pPr>
        <w:pStyle w:val="FootnoteText"/>
        <w:rPr>
          <w:lang w:val="en-NZ"/>
        </w:rPr>
      </w:pPr>
      <w:r>
        <w:rPr>
          <w:rStyle w:val="FootnoteReference"/>
        </w:rPr>
        <w:footnoteRef/>
      </w:r>
      <w:r>
        <w:t xml:space="preserve"> Directors of Area Mental Health Services under the Mental Health Act and Compulsory Care Coordinators under the </w:t>
      </w:r>
      <w:r w:rsidRPr="00515B2E">
        <w:rPr>
          <w:lang w:val="en-NZ"/>
        </w:rPr>
        <w:t>Intellectual Disability (Compulsory Care and Rehabilitation) Act</w:t>
      </w:r>
    </w:p>
  </w:footnote>
  <w:footnote w:id="136">
    <w:p w:rsidR="003A486D" w:rsidRPr="00C46F0F" w:rsidRDefault="003A486D" w:rsidP="005C6961">
      <w:pPr>
        <w:pStyle w:val="FootnoteText"/>
        <w:rPr>
          <w:lang w:val="en-US"/>
        </w:rPr>
      </w:pPr>
      <w:r>
        <w:rPr>
          <w:rStyle w:val="FootnoteReference"/>
        </w:rPr>
        <w:footnoteRef/>
      </w:r>
      <w:r>
        <w:t xml:space="preserve"> </w:t>
      </w:r>
      <w:r w:rsidRPr="00450BC2">
        <w:t>Further statistics are provided in the Office of the Director of Mental Health Annual Report</w:t>
      </w:r>
      <w:r>
        <w:t xml:space="preserve">s on the Ministry of Health website </w:t>
      </w:r>
      <w:hyperlink r:id="rId77" w:history="1">
        <w:r w:rsidRPr="00FF51D1">
          <w:rPr>
            <w:rStyle w:val="Hyperlink"/>
          </w:rPr>
          <w:t>www.health.govt.nz</w:t>
        </w:r>
      </w:hyperlink>
      <w:r>
        <w:t xml:space="preserve">. </w:t>
      </w:r>
      <w:r w:rsidRPr="00B12F46">
        <w:t>Note that 2017 figures are provisional until published in early 2019.</w:t>
      </w:r>
      <w:r>
        <w:t xml:space="preserve">  </w:t>
      </w:r>
    </w:p>
  </w:footnote>
  <w:footnote w:id="137">
    <w:p w:rsidR="003A486D" w:rsidRPr="00F125D0" w:rsidRDefault="003A486D" w:rsidP="005C6961">
      <w:pPr>
        <w:pStyle w:val="FootnoteText"/>
        <w:rPr>
          <w:lang w:val="en-NZ"/>
        </w:rPr>
      </w:pPr>
      <w:r>
        <w:rPr>
          <w:rStyle w:val="FootnoteReference"/>
        </w:rPr>
        <w:footnoteRef/>
      </w:r>
      <w:r>
        <w:t xml:space="preserve"> The Health and Disability Commissioner (HDC), the independent watchdog, investigates complaints and makes recommendations to health and disability service providers. HDC publishes annual reports on its activities. In 2016/17, HDC received 2211 complaints about health and disability services (compared with 1958 complaints in 2015/16 and 1880 in 2014/15). These covered a wide range of complaints, not just those relevant to the Convention. 80 formal investigations were completed, of which 61 resulted in breach opinions, 11 providers were referred to the Director of Proceedings responsible for bringing a case in front of the Health Practitioners Disciplinary Tribunal or the Human Rights Review Tribunal. Complaints received by HDC relating to mental health inpatient units: 69 in 2015/2016; 85 in 2016/2017; 87 in 2017/2018. If a patient is unhappy with the handling of a complaint, they may make a further complaint to the Ombudsman.</w:t>
      </w:r>
    </w:p>
  </w:footnote>
  <w:footnote w:id="138">
    <w:p w:rsidR="003A486D" w:rsidRPr="008053C0" w:rsidRDefault="003A486D" w:rsidP="005C6961">
      <w:pPr>
        <w:pStyle w:val="FootnoteText"/>
        <w:rPr>
          <w:lang w:val="en-NZ"/>
        </w:rPr>
      </w:pPr>
      <w:r>
        <w:rPr>
          <w:rStyle w:val="FootnoteReference"/>
        </w:rPr>
        <w:footnoteRef/>
      </w:r>
      <w:r>
        <w:t xml:space="preserve"> </w:t>
      </w:r>
      <w:r w:rsidRPr="006551E2">
        <w:t xml:space="preserve">Optional Protocol to the Convention against Torture </w:t>
      </w:r>
      <w:r w:rsidRPr="009711EF">
        <w:rPr>
          <w:rFonts w:eastAsia="Calibri"/>
          <w:lang w:val="en-NZ"/>
        </w:rPr>
        <w:t>inspection report</w:t>
      </w:r>
      <w:r>
        <w:rPr>
          <w:rFonts w:eastAsia="Calibri"/>
          <w:lang w:val="en-NZ"/>
        </w:rPr>
        <w:t>s</w:t>
      </w:r>
      <w:r w:rsidRPr="009711EF">
        <w:rPr>
          <w:rFonts w:eastAsia="Calibri"/>
          <w:lang w:val="en-NZ"/>
        </w:rPr>
        <w:t xml:space="preserve"> are published on the Ombudsman’s website</w:t>
      </w:r>
      <w:r>
        <w:rPr>
          <w:rFonts w:eastAsia="Calibri"/>
          <w:lang w:val="en-NZ"/>
        </w:rPr>
        <w:t xml:space="preserve">, </w:t>
      </w:r>
      <w:hyperlink r:id="rId78" w:history="1">
        <w:r w:rsidRPr="009F6A53">
          <w:rPr>
            <w:rStyle w:val="Hyperlink"/>
            <w:rFonts w:eastAsia="Calibri"/>
            <w:lang w:val="en-NZ"/>
          </w:rPr>
          <w:t>www.ombudsman.parliament.nz/what-we-do/protecting-your-rights/monitoring-places-of-detention</w:t>
        </w:r>
      </w:hyperlink>
      <w:r>
        <w:rPr>
          <w:rFonts w:eastAsia="Calibri"/>
          <w:lang w:val="en-NZ"/>
        </w:rPr>
        <w:t xml:space="preserve">  </w:t>
      </w:r>
    </w:p>
  </w:footnote>
  <w:footnote w:id="139">
    <w:p w:rsidR="003A486D" w:rsidRPr="00C46F0F" w:rsidRDefault="003A486D" w:rsidP="005C6961">
      <w:pPr>
        <w:pStyle w:val="FootnoteText"/>
        <w:rPr>
          <w:lang w:val="en-US"/>
        </w:rPr>
      </w:pPr>
      <w:r>
        <w:rPr>
          <w:rStyle w:val="FootnoteReference"/>
        </w:rPr>
        <w:footnoteRef/>
      </w:r>
      <w:r>
        <w:t xml:space="preserve"> See </w:t>
      </w:r>
      <w:hyperlink r:id="rId79" w:history="1">
        <w:r w:rsidRPr="00F10D1F">
          <w:rPr>
            <w:rStyle w:val="Hyperlink"/>
          </w:rPr>
          <w:t>www.education.govt.nz/ministry-of-education/legislation/the-education-update-amendment-act/</w:t>
        </w:r>
      </w:hyperlink>
      <w:r>
        <w:t xml:space="preserve"> </w:t>
      </w:r>
    </w:p>
  </w:footnote>
  <w:footnote w:id="140">
    <w:p w:rsidR="003A486D" w:rsidRPr="00C46F0F" w:rsidRDefault="003A486D" w:rsidP="005C6961">
      <w:pPr>
        <w:pStyle w:val="FootnoteText"/>
        <w:rPr>
          <w:lang w:val="en-US"/>
        </w:rPr>
      </w:pPr>
      <w:r>
        <w:rPr>
          <w:rStyle w:val="FootnoteReference"/>
        </w:rPr>
        <w:footnoteRef/>
      </w:r>
      <w:r>
        <w:t xml:space="preserve"> See </w:t>
      </w:r>
      <w:hyperlink r:id="rId80" w:history="1">
        <w:r w:rsidRPr="00F10D1F">
          <w:rPr>
            <w:rStyle w:val="Hyperlink"/>
          </w:rPr>
          <w:t>www.education.govt.nz/news/new-rules-for-using-physical-restraint-in-schools/</w:t>
        </w:r>
      </w:hyperlink>
      <w:r>
        <w:t xml:space="preserve"> </w:t>
      </w:r>
    </w:p>
  </w:footnote>
  <w:footnote w:id="141">
    <w:p w:rsidR="003A486D" w:rsidRPr="00C46F0F" w:rsidRDefault="003A486D" w:rsidP="005C6961">
      <w:pPr>
        <w:pStyle w:val="FootnoteText"/>
        <w:rPr>
          <w:lang w:val="en-US"/>
        </w:rPr>
      </w:pPr>
      <w:r>
        <w:rPr>
          <w:rStyle w:val="FootnoteReference"/>
        </w:rPr>
        <w:footnoteRef/>
      </w:r>
      <w:r>
        <w:t xml:space="preserve"> See </w:t>
      </w:r>
      <w:hyperlink r:id="rId81" w:history="1">
        <w:r w:rsidRPr="00F10D1F">
          <w:rPr>
            <w:rStyle w:val="Hyperlink"/>
          </w:rPr>
          <w:t>www.education.govt.nz/assets/Documents/School/Managing-and-supporting-students/Guidance-for-New-Zealand-Schools-on-Behaviour-Mgmt-to-Minimise-Physical-....pdf</w:t>
        </w:r>
      </w:hyperlink>
      <w:r>
        <w:t xml:space="preserve"> </w:t>
      </w:r>
    </w:p>
  </w:footnote>
  <w:footnote w:id="142">
    <w:p w:rsidR="003A486D" w:rsidRPr="00C46F0F" w:rsidRDefault="003A486D" w:rsidP="005C6961">
      <w:pPr>
        <w:pStyle w:val="FootnoteText"/>
        <w:rPr>
          <w:lang w:val="en-US"/>
        </w:rPr>
      </w:pPr>
      <w:r>
        <w:rPr>
          <w:rStyle w:val="FootnoteReference"/>
        </w:rPr>
        <w:footnoteRef/>
      </w:r>
      <w:r>
        <w:t xml:space="preserve"> D</w:t>
      </w:r>
      <w:r w:rsidRPr="00755C23">
        <w:t>r</w:t>
      </w:r>
      <w:r>
        <w:t>aft Terms of Reference for the I</w:t>
      </w:r>
      <w:r w:rsidRPr="00755C23">
        <w:t>nquiry</w:t>
      </w:r>
      <w:r>
        <w:t xml:space="preserve"> provide that the Inquiry will be</w:t>
      </w:r>
      <w:r w:rsidRPr="00755C23">
        <w:t xml:space="preserve"> “responsive where differential impact is evident, e.g. by gender, </w:t>
      </w:r>
      <w:r>
        <w:t>people identifying as lesbian, gay, bisexual, transgender, queer and intersex</w:t>
      </w:r>
      <w:r w:rsidRPr="00755C23">
        <w:t>, Pacific People, disabled people and people who have experienced mental health issues”</w:t>
      </w:r>
      <w:r>
        <w:t xml:space="preserve">.   The draft Terms of Reference, and the language used, has been the subject of public consultation and remains subject to final Cabinet approval. </w:t>
      </w:r>
    </w:p>
  </w:footnote>
  <w:footnote w:id="143">
    <w:p w:rsidR="003A486D" w:rsidRPr="00C46F0F" w:rsidRDefault="003A486D" w:rsidP="005C6961">
      <w:pPr>
        <w:pStyle w:val="FootnoteText"/>
        <w:rPr>
          <w:lang w:val="en-US"/>
        </w:rPr>
      </w:pPr>
      <w:r>
        <w:rPr>
          <w:rStyle w:val="FootnoteReference"/>
        </w:rPr>
        <w:footnoteRef/>
      </w:r>
      <w:r>
        <w:t xml:space="preserve"> NetSafe is a not for profit organisation and</w:t>
      </w:r>
      <w:r w:rsidRPr="002D192E">
        <w:t xml:space="preserve"> is the approved agency authorised under the Harmful Digital Communications Act 2015</w:t>
      </w:r>
      <w:r>
        <w:t xml:space="preserve">.See </w:t>
      </w:r>
      <w:hyperlink r:id="rId82" w:history="1">
        <w:r w:rsidRPr="00F10D1F">
          <w:rPr>
            <w:rStyle w:val="Hyperlink"/>
          </w:rPr>
          <w:t>www.netsafe.org.nz/</w:t>
        </w:r>
      </w:hyperlink>
      <w:r>
        <w:t xml:space="preserve"> </w:t>
      </w:r>
    </w:p>
  </w:footnote>
  <w:footnote w:id="144">
    <w:p w:rsidR="003A486D" w:rsidRPr="00411033" w:rsidRDefault="003A486D" w:rsidP="005C6961">
      <w:pPr>
        <w:pStyle w:val="FootnoteText"/>
        <w:rPr>
          <w:lang w:val="en-NZ"/>
        </w:rPr>
      </w:pPr>
      <w:r>
        <w:rPr>
          <w:rStyle w:val="FootnoteReference"/>
        </w:rPr>
        <w:footnoteRef/>
      </w:r>
      <w:r>
        <w:t xml:space="preserve"> </w:t>
      </w:r>
      <w:r>
        <w:rPr>
          <w:lang w:val="en-NZ"/>
        </w:rPr>
        <w:t xml:space="preserve">See </w:t>
      </w:r>
      <w:hyperlink r:id="rId83" w:history="1">
        <w:r w:rsidRPr="0097658F">
          <w:rPr>
            <w:rStyle w:val="Hyperlink"/>
            <w:lang w:val="en-NZ"/>
          </w:rPr>
          <w:t>http://areyouok.org.nz/</w:t>
        </w:r>
      </w:hyperlink>
      <w:r>
        <w:rPr>
          <w:lang w:val="en-NZ"/>
        </w:rPr>
        <w:t xml:space="preserve"> </w:t>
      </w:r>
    </w:p>
  </w:footnote>
  <w:footnote w:id="145">
    <w:p w:rsidR="003A486D" w:rsidRPr="00411033" w:rsidRDefault="003A486D" w:rsidP="005C6961">
      <w:pPr>
        <w:pStyle w:val="FootnoteText"/>
        <w:rPr>
          <w:lang w:val="en-NZ"/>
        </w:rPr>
      </w:pPr>
      <w:r>
        <w:rPr>
          <w:rStyle w:val="FootnoteReference"/>
        </w:rPr>
        <w:footnoteRef/>
      </w:r>
      <w:r>
        <w:t xml:space="preserve"> </w:t>
      </w:r>
      <w:r>
        <w:rPr>
          <w:lang w:val="en-NZ"/>
        </w:rPr>
        <w:t xml:space="preserve">See </w:t>
      </w:r>
      <w:hyperlink r:id="rId84" w:history="1">
        <w:r w:rsidRPr="0097658F">
          <w:rPr>
            <w:rStyle w:val="Hyperlink"/>
            <w:lang w:val="en-NZ"/>
          </w:rPr>
          <w:t>http://www.pasefikaproud.co.nz/</w:t>
        </w:r>
      </w:hyperlink>
      <w:r>
        <w:rPr>
          <w:lang w:val="en-NZ"/>
        </w:rPr>
        <w:t xml:space="preserve"> </w:t>
      </w:r>
    </w:p>
  </w:footnote>
  <w:footnote w:id="146">
    <w:p w:rsidR="003A486D" w:rsidRPr="008C0403" w:rsidRDefault="003A486D" w:rsidP="005C6961">
      <w:pPr>
        <w:pStyle w:val="FootnoteText"/>
        <w:rPr>
          <w:lang w:val="en-NZ"/>
        </w:rPr>
      </w:pPr>
      <w:r>
        <w:rPr>
          <w:rStyle w:val="FootnoteReference"/>
        </w:rPr>
        <w:footnoteRef/>
      </w:r>
      <w:r>
        <w:t xml:space="preserve"> </w:t>
      </w:r>
      <w:r>
        <w:rPr>
          <w:lang w:val="en-NZ"/>
        </w:rPr>
        <w:t xml:space="preserve">See </w:t>
      </w:r>
      <w:hyperlink r:id="rId85" w:history="1">
        <w:r w:rsidRPr="007F51AE">
          <w:rPr>
            <w:rStyle w:val="Hyperlink"/>
            <w:lang w:val="en-NZ"/>
          </w:rPr>
          <w:t>https://etuwhanau.org.nz</w:t>
        </w:r>
      </w:hyperlink>
      <w:r>
        <w:rPr>
          <w:lang w:val="en-NZ"/>
        </w:rPr>
        <w:t xml:space="preserve">  </w:t>
      </w:r>
    </w:p>
  </w:footnote>
  <w:footnote w:id="147">
    <w:p w:rsidR="003A486D" w:rsidRPr="008C0403" w:rsidRDefault="003A486D" w:rsidP="005C6961">
      <w:pPr>
        <w:pStyle w:val="FootnoteText"/>
        <w:rPr>
          <w:lang w:val="en-NZ"/>
        </w:rPr>
      </w:pPr>
      <w:r>
        <w:rPr>
          <w:rStyle w:val="FootnoteReference"/>
        </w:rPr>
        <w:footnoteRef/>
      </w:r>
      <w:r>
        <w:t xml:space="preserve"> </w:t>
      </w:r>
      <w:r>
        <w:rPr>
          <w:lang w:val="en-NZ"/>
        </w:rPr>
        <w:t xml:space="preserve">See </w:t>
      </w:r>
      <w:hyperlink r:id="rId86" w:history="1">
        <w:r w:rsidRPr="007F51AE">
          <w:rPr>
            <w:rStyle w:val="Hyperlink"/>
            <w:lang w:val="en-NZ"/>
          </w:rPr>
          <w:t>https://safetotalk.nz</w:t>
        </w:r>
      </w:hyperlink>
      <w:r>
        <w:rPr>
          <w:lang w:val="en-NZ"/>
        </w:rPr>
        <w:t xml:space="preserve"> </w:t>
      </w:r>
    </w:p>
  </w:footnote>
  <w:footnote w:id="148">
    <w:p w:rsidR="003A486D" w:rsidRPr="001C7C8F" w:rsidRDefault="003A486D" w:rsidP="005C6961">
      <w:pPr>
        <w:pStyle w:val="FootnoteText"/>
        <w:rPr>
          <w:lang w:val="en-NZ"/>
        </w:rPr>
      </w:pPr>
      <w:r>
        <w:rPr>
          <w:rStyle w:val="FootnoteReference"/>
        </w:rPr>
        <w:footnoteRef/>
      </w:r>
      <w:r>
        <w:t xml:space="preserve"> </w:t>
      </w:r>
      <w:r>
        <w:rPr>
          <w:lang w:val="en-NZ"/>
        </w:rPr>
        <w:t xml:space="preserve">See </w:t>
      </w:r>
      <w:hyperlink r:id="rId87" w:history="1">
        <w:r w:rsidRPr="0097658F">
          <w:rPr>
            <w:rStyle w:val="Hyperlink"/>
            <w:lang w:val="en-NZ"/>
          </w:rPr>
          <w:t>http://www.legislation.govt.nz/act/public/2018/0046/latest/whole.html</w:t>
        </w:r>
      </w:hyperlink>
      <w:r>
        <w:rPr>
          <w:lang w:val="en-NZ"/>
        </w:rPr>
        <w:t xml:space="preserve">. Changes to the Act include: </w:t>
      </w:r>
      <w:r w:rsidRPr="001C7C8F">
        <w:rPr>
          <w:lang w:val="en-NZ"/>
        </w:rPr>
        <w:t>recognising that disabled people may be particularly vulnerable to family violence; clarifying that the definition of psychological abuse includes hindering or removing access to a person’s aid, medication or other support that affects their quality of life in situations where a person cannot withdraw from the care of another person due to age, disability or health condition; requiring the court to take into account the views of people ‘lacking capacity’ when making a protection order on their behalf (protection orders can stop or limit contact between people); enabling the court to make special conditions on protection orders to address violence against a person who is particularly vulnerable, due to age, disability or health condition.</w:t>
      </w:r>
    </w:p>
  </w:footnote>
  <w:footnote w:id="149">
    <w:p w:rsidR="003A486D" w:rsidRPr="00EA6F3F" w:rsidRDefault="003A486D" w:rsidP="005C6961">
      <w:pPr>
        <w:pStyle w:val="FootnoteText"/>
        <w:rPr>
          <w:lang w:val="en-US"/>
        </w:rPr>
      </w:pPr>
      <w:r>
        <w:rPr>
          <w:rStyle w:val="FootnoteReference"/>
        </w:rPr>
        <w:footnoteRef/>
      </w:r>
      <w:r>
        <w:t xml:space="preserve"> See </w:t>
      </w:r>
      <w:hyperlink r:id="rId88" w:history="1">
        <w:r w:rsidRPr="00F10D1F">
          <w:rPr>
            <w:rStyle w:val="Hyperlink"/>
          </w:rPr>
          <w:t>www.</w:t>
        </w:r>
        <w:r w:rsidRPr="00F10D1F">
          <w:rPr>
            <w:rStyle w:val="Hyperlink"/>
            <w:lang w:val="en-US"/>
          </w:rPr>
          <w:t>health.govt.nz/publication/prevention-and-management-abuse-guide-services-funded-disability-support-services</w:t>
        </w:r>
      </w:hyperlink>
      <w:r>
        <w:rPr>
          <w:lang w:val="en-US"/>
        </w:rPr>
        <w:t xml:space="preserve"> </w:t>
      </w:r>
    </w:p>
  </w:footnote>
  <w:footnote w:id="150">
    <w:p w:rsidR="003A486D" w:rsidRPr="00297F8C" w:rsidRDefault="003A486D" w:rsidP="005C6961">
      <w:pPr>
        <w:pStyle w:val="FootnoteText"/>
        <w:rPr>
          <w:lang w:val="en-US"/>
        </w:rPr>
      </w:pPr>
      <w:r>
        <w:rPr>
          <w:rStyle w:val="FootnoteReference"/>
        </w:rPr>
        <w:footnoteRef/>
      </w:r>
      <w:r>
        <w:t xml:space="preserve"> This support is provided for people who experience </w:t>
      </w:r>
      <w:r w:rsidRPr="001A6428">
        <w:rPr>
          <w:noProof/>
          <w:lang w:val="en-NZ"/>
        </w:rPr>
        <w:t>mental injury caused by certain criminal acts (major sex offences covered by the Crimes Act 1961) referred to as sensitive claims; work-related mental injury; and mental injury caused by injury</w:t>
      </w:r>
    </w:p>
  </w:footnote>
  <w:footnote w:id="151">
    <w:p w:rsidR="003A486D" w:rsidRPr="00E44AA8" w:rsidRDefault="003A486D" w:rsidP="005C6961">
      <w:pPr>
        <w:pStyle w:val="FootnoteText"/>
        <w:rPr>
          <w:lang w:val="en-NZ"/>
        </w:rPr>
      </w:pPr>
      <w:r>
        <w:rPr>
          <w:rStyle w:val="FootnoteReference"/>
        </w:rPr>
        <w:footnoteRef/>
      </w:r>
      <w:r>
        <w:t xml:space="preserve"> </w:t>
      </w:r>
      <w:r>
        <w:rPr>
          <w:lang w:val="en-NZ"/>
        </w:rPr>
        <w:t xml:space="preserve">See </w:t>
      </w:r>
      <w:hyperlink r:id="rId89" w:history="1">
        <w:r w:rsidRPr="00F10D1F">
          <w:rPr>
            <w:rStyle w:val="Hyperlink"/>
            <w:lang w:val="en-NZ"/>
          </w:rPr>
          <w:t>www.workandincome.govt.nz/eligibility/health-and-disability/counselling.html</w:t>
        </w:r>
      </w:hyperlink>
      <w:r>
        <w:rPr>
          <w:lang w:val="en-NZ"/>
        </w:rPr>
        <w:t xml:space="preserve"> </w:t>
      </w:r>
    </w:p>
  </w:footnote>
  <w:footnote w:id="152">
    <w:p w:rsidR="003A486D" w:rsidRPr="00C67E97" w:rsidRDefault="003A486D" w:rsidP="005C6961">
      <w:pPr>
        <w:pStyle w:val="FootnoteText"/>
        <w:rPr>
          <w:lang w:val="en-NZ"/>
        </w:rPr>
      </w:pPr>
      <w:r>
        <w:rPr>
          <w:rStyle w:val="FootnoteReference"/>
        </w:rPr>
        <w:footnoteRef/>
      </w:r>
      <w:r>
        <w:t xml:space="preserve"> </w:t>
      </w:r>
      <w:r>
        <w:rPr>
          <w:lang w:val="en-NZ"/>
        </w:rPr>
        <w:t xml:space="preserve">Action </w:t>
      </w:r>
      <w:r w:rsidRPr="008615AF">
        <w:t xml:space="preserve">7(b) of the </w:t>
      </w:r>
      <w:r w:rsidRPr="008615AF">
        <w:rPr>
          <w:i/>
        </w:rPr>
        <w:t>Disability Action Plan 2014-2018</w:t>
      </w:r>
      <w:r>
        <w:rPr>
          <w:i/>
        </w:rPr>
        <w:t xml:space="preserve"> </w:t>
      </w:r>
      <w:r>
        <w:t xml:space="preserve">refers: </w:t>
      </w:r>
      <w:r w:rsidRPr="00C67E97">
        <w:t>Explore the framework that protects the bodily integrity of disabled children and disabled adults against non-therapeutic medical procedures, including the issue of consent. This action will focus initially on options to protect against non-therapeutic sterilisation without the fully inf</w:t>
      </w:r>
      <w:r>
        <w:t xml:space="preserve">ormed consent of the individual. See </w:t>
      </w:r>
      <w:hyperlink r:id="rId90" w:history="1">
        <w:r w:rsidRPr="00571A78">
          <w:rPr>
            <w:rStyle w:val="Hyperlink"/>
          </w:rPr>
          <w:t>www.odi.govt.nz/nz-disability-strategy/outcome-7-choice-and-control/</w:t>
        </w:r>
      </w:hyperlink>
      <w:r>
        <w:t xml:space="preserve"> </w:t>
      </w:r>
    </w:p>
  </w:footnote>
  <w:footnote w:id="153">
    <w:p w:rsidR="003A486D" w:rsidRPr="00C67E97" w:rsidRDefault="003A486D" w:rsidP="005C6961">
      <w:pPr>
        <w:pStyle w:val="FootnoteText"/>
        <w:rPr>
          <w:lang w:val="en-NZ"/>
        </w:rPr>
      </w:pPr>
      <w:r>
        <w:rPr>
          <w:rStyle w:val="FootnoteReference"/>
        </w:rPr>
        <w:footnoteRef/>
      </w:r>
      <w:r>
        <w:t xml:space="preserve"> </w:t>
      </w:r>
      <w:r w:rsidRPr="00C67E97">
        <w:t>Contraception, Sterilisation, and Abortion Act</w:t>
      </w:r>
      <w:r>
        <w:t xml:space="preserve"> 1977, see </w:t>
      </w:r>
      <w:hyperlink r:id="rId91" w:history="1">
        <w:r w:rsidRPr="00571A78">
          <w:rPr>
            <w:rStyle w:val="Hyperlink"/>
          </w:rPr>
          <w:t>www.legislation.govt.nz/act/public/1977/0112/latest/DLM17680.html</w:t>
        </w:r>
      </w:hyperlink>
      <w:r>
        <w:t xml:space="preserve"> </w:t>
      </w:r>
    </w:p>
  </w:footnote>
  <w:footnote w:id="154">
    <w:p w:rsidR="003A486D" w:rsidRPr="00813A72" w:rsidRDefault="003A486D" w:rsidP="005C6961">
      <w:pPr>
        <w:pStyle w:val="FootnoteText"/>
        <w:rPr>
          <w:lang w:val="en-US"/>
        </w:rPr>
      </w:pPr>
      <w:r>
        <w:rPr>
          <w:rStyle w:val="FootnoteReference"/>
        </w:rPr>
        <w:footnoteRef/>
      </w:r>
      <w:r>
        <w:t xml:space="preserve"> The </w:t>
      </w:r>
      <w:r w:rsidRPr="0031639F">
        <w:t>Protection of Personal and Property Rights Act 1988</w:t>
      </w:r>
    </w:p>
  </w:footnote>
  <w:footnote w:id="155">
    <w:p w:rsidR="003A486D" w:rsidRPr="00807A48" w:rsidRDefault="003A486D" w:rsidP="005C6961">
      <w:pPr>
        <w:pStyle w:val="FootnoteText"/>
        <w:rPr>
          <w:lang w:val="en-US"/>
        </w:rPr>
      </w:pPr>
      <w:r>
        <w:rPr>
          <w:rStyle w:val="FootnoteReference"/>
        </w:rPr>
        <w:footnoteRef/>
      </w:r>
      <w:r>
        <w:t xml:space="preserve"> New Zealand </w:t>
      </w:r>
      <w:r w:rsidRPr="0031639F">
        <w:t>Bill of Rights Act</w:t>
      </w:r>
      <w:r>
        <w:t xml:space="preserve"> 1990, s</w:t>
      </w:r>
      <w:r w:rsidRPr="0031639F">
        <w:t>ection 11</w:t>
      </w:r>
    </w:p>
  </w:footnote>
  <w:footnote w:id="156">
    <w:p w:rsidR="003A486D" w:rsidRPr="00D73D0B" w:rsidRDefault="003A486D" w:rsidP="005C6961">
      <w:pPr>
        <w:pStyle w:val="FootnoteText"/>
        <w:rPr>
          <w:lang w:val="en-US"/>
        </w:rPr>
      </w:pPr>
      <w:r>
        <w:rPr>
          <w:rStyle w:val="FootnoteReference"/>
        </w:rPr>
        <w:footnoteRef/>
      </w:r>
      <w:r>
        <w:t xml:space="preserve"> The</w:t>
      </w:r>
      <w:r w:rsidRPr="002853E2">
        <w:t xml:space="preserve"> </w:t>
      </w:r>
      <w:r w:rsidRPr="00813A72">
        <w:t>Code of Health and Disability Services Consumers’ Rights</w:t>
      </w:r>
      <w:r>
        <w:t>,</w:t>
      </w:r>
      <w:r w:rsidRPr="00513338">
        <w:t xml:space="preserve"> </w:t>
      </w:r>
      <w:r w:rsidRPr="002853E2">
        <w:t>Right 7(4)</w:t>
      </w:r>
    </w:p>
  </w:footnote>
  <w:footnote w:id="157">
    <w:p w:rsidR="003A486D" w:rsidRPr="00D73D0B" w:rsidRDefault="003A486D" w:rsidP="005C6961">
      <w:pPr>
        <w:pStyle w:val="FootnoteText"/>
        <w:rPr>
          <w:lang w:val="en-NZ"/>
        </w:rPr>
      </w:pPr>
      <w:r>
        <w:rPr>
          <w:rStyle w:val="FootnoteReference"/>
        </w:rPr>
        <w:footnoteRef/>
      </w:r>
      <w:r>
        <w:t xml:space="preserve"> The term </w:t>
      </w:r>
      <w:r>
        <w:rPr>
          <w:lang w:val="en-NZ"/>
        </w:rPr>
        <w:t>“Ashley Treatment” is commonly used to refer to growth attenuation treatment to limit a child’s growth in size and prevent changes through puberty. The term comes from the story of a child, “Ashley X”, from the USA, who underwent these procedures in 2004-2006.</w:t>
      </w:r>
    </w:p>
  </w:footnote>
  <w:footnote w:id="158">
    <w:p w:rsidR="003A486D" w:rsidRPr="00FE5F58" w:rsidRDefault="003A486D" w:rsidP="005C6961">
      <w:pPr>
        <w:pStyle w:val="FootnoteText"/>
        <w:rPr>
          <w:lang w:val="en-NZ"/>
        </w:rPr>
      </w:pPr>
      <w:r>
        <w:rPr>
          <w:rStyle w:val="FootnoteReference"/>
        </w:rPr>
        <w:footnoteRef/>
      </w:r>
      <w:r>
        <w:t xml:space="preserve"> </w:t>
      </w:r>
      <w:hyperlink r:id="rId92" w:history="1">
        <w:r w:rsidRPr="00531D3B">
          <w:rPr>
            <w:rStyle w:val="Hyperlink"/>
          </w:rPr>
          <w:t>https://www.noted.co.nz/health/health/how-a-waikato-family-fought-to-stop-their-disabled-daughters-growth/</w:t>
        </w:r>
      </w:hyperlink>
      <w:r>
        <w:t xml:space="preserve"> </w:t>
      </w:r>
    </w:p>
  </w:footnote>
  <w:footnote w:id="159">
    <w:p w:rsidR="003A486D" w:rsidRPr="00BB2BE6" w:rsidRDefault="003A486D" w:rsidP="005C6961">
      <w:pPr>
        <w:pStyle w:val="FootnoteText"/>
        <w:rPr>
          <w:lang w:val="en-NZ"/>
        </w:rPr>
      </w:pPr>
      <w:r>
        <w:rPr>
          <w:rStyle w:val="FootnoteReference"/>
        </w:rPr>
        <w:footnoteRef/>
      </w:r>
      <w:r>
        <w:t xml:space="preserve"> </w:t>
      </w:r>
      <w:r>
        <w:rPr>
          <w:lang w:val="en-NZ"/>
        </w:rPr>
        <w:t xml:space="preserve">See </w:t>
      </w:r>
      <w:hyperlink r:id="rId93" w:history="1">
        <w:r w:rsidRPr="00A61565">
          <w:rPr>
            <w:rStyle w:val="Hyperlink"/>
            <w:lang w:val="en-NZ"/>
          </w:rPr>
          <w:t>http://www.donaldbeasley.org.nz/</w:t>
        </w:r>
      </w:hyperlink>
      <w:r>
        <w:rPr>
          <w:lang w:val="en-NZ"/>
        </w:rPr>
        <w:t xml:space="preserve"> </w:t>
      </w:r>
    </w:p>
  </w:footnote>
  <w:footnote w:id="160">
    <w:p w:rsidR="003A486D" w:rsidRPr="008D1A8E" w:rsidRDefault="003A486D" w:rsidP="005C6961">
      <w:pPr>
        <w:pStyle w:val="FootnoteText"/>
        <w:rPr>
          <w:lang w:val="en-NZ"/>
        </w:rPr>
      </w:pPr>
      <w:r>
        <w:rPr>
          <w:rStyle w:val="FootnoteReference"/>
        </w:rPr>
        <w:footnoteRef/>
      </w:r>
      <w:r>
        <w:t xml:space="preserve"> See </w:t>
      </w:r>
      <w:hyperlink r:id="rId94" w:history="1">
        <w:r w:rsidRPr="009F6A53">
          <w:rPr>
            <w:rStyle w:val="Hyperlink"/>
          </w:rPr>
          <w:t>www.health.govt.nz/system/files/documents/publications/resettlement-of-kimberley-residents.pdf</w:t>
        </w:r>
      </w:hyperlink>
      <w:r>
        <w:t xml:space="preserve"> </w:t>
      </w:r>
    </w:p>
  </w:footnote>
  <w:footnote w:id="161">
    <w:p w:rsidR="003A486D" w:rsidRPr="00CD6819" w:rsidRDefault="003A486D" w:rsidP="005C6961">
      <w:pPr>
        <w:pStyle w:val="FootnoteText"/>
        <w:rPr>
          <w:lang w:val="en-NZ"/>
        </w:rPr>
      </w:pPr>
      <w:r>
        <w:rPr>
          <w:rStyle w:val="FootnoteReference"/>
        </w:rPr>
        <w:footnoteRef/>
      </w:r>
      <w:r>
        <w:t xml:space="preserve"> </w:t>
      </w:r>
      <w:r>
        <w:rPr>
          <w:lang w:val="en-NZ"/>
        </w:rPr>
        <w:t xml:space="preserve">See </w:t>
      </w:r>
      <w:hyperlink r:id="rId95" w:history="1">
        <w:r w:rsidRPr="00571A78">
          <w:rPr>
            <w:rStyle w:val="Hyperlink"/>
            <w:lang w:val="en-NZ"/>
          </w:rPr>
          <w:t>www.health.govt.nz/your-health/services-and-support/disability-services/types-disability-support/new-model-supporting-disabled-people/choice-community-living</w:t>
        </w:r>
      </w:hyperlink>
      <w:r>
        <w:rPr>
          <w:lang w:val="en-NZ"/>
        </w:rPr>
        <w:t xml:space="preserve"> </w:t>
      </w:r>
    </w:p>
  </w:footnote>
  <w:footnote w:id="162">
    <w:p w:rsidR="003A486D" w:rsidRPr="001B25BD" w:rsidRDefault="003A486D" w:rsidP="005C6961">
      <w:pPr>
        <w:pStyle w:val="FootnoteText"/>
        <w:rPr>
          <w:lang w:val="en-NZ"/>
        </w:rPr>
      </w:pPr>
      <w:r>
        <w:rPr>
          <w:rStyle w:val="FootnoteReference"/>
        </w:rPr>
        <w:footnoteRef/>
      </w:r>
      <w:r>
        <w:t xml:space="preserve"> </w:t>
      </w:r>
      <w:r w:rsidRPr="00CD6819">
        <w:t>Auckland and Waikato</w:t>
      </w:r>
    </w:p>
  </w:footnote>
  <w:footnote w:id="163">
    <w:p w:rsidR="003A486D" w:rsidRPr="00CD6819" w:rsidRDefault="003A486D" w:rsidP="005C6961">
      <w:pPr>
        <w:pStyle w:val="FootnoteText"/>
        <w:rPr>
          <w:lang w:val="en-NZ"/>
        </w:rPr>
      </w:pPr>
      <w:r>
        <w:rPr>
          <w:rStyle w:val="FootnoteReference"/>
        </w:rPr>
        <w:footnoteRef/>
      </w:r>
      <w:r>
        <w:t xml:space="preserve"> </w:t>
      </w:r>
      <w:r>
        <w:rPr>
          <w:lang w:val="en-NZ"/>
        </w:rPr>
        <w:t>It is available in the Hutt, Otago and Southland regions.</w:t>
      </w:r>
    </w:p>
  </w:footnote>
  <w:footnote w:id="164">
    <w:p w:rsidR="003A486D" w:rsidRPr="00D73D0B" w:rsidRDefault="003A486D" w:rsidP="005C6961">
      <w:pPr>
        <w:pStyle w:val="FootnoteText"/>
        <w:rPr>
          <w:lang w:val="en-NZ"/>
        </w:rPr>
      </w:pPr>
      <w:r>
        <w:rPr>
          <w:rStyle w:val="FootnoteReference"/>
        </w:rPr>
        <w:footnoteRef/>
      </w:r>
      <w:r>
        <w:t xml:space="preserve"> </w:t>
      </w:r>
      <w:r w:rsidRPr="00B564A1">
        <w:t xml:space="preserve">Housing </w:t>
      </w:r>
      <w:r>
        <w:t>NZ</w:t>
      </w:r>
      <w:r w:rsidRPr="00B564A1">
        <w:t xml:space="preserve"> Corporation is a Crown agent that provides housing services for New Zealanders in need</w:t>
      </w:r>
      <w:r>
        <w:t>.</w:t>
      </w:r>
    </w:p>
  </w:footnote>
  <w:footnote w:id="165">
    <w:p w:rsidR="003A486D" w:rsidRPr="00461233" w:rsidRDefault="003A486D" w:rsidP="005C6961">
      <w:pPr>
        <w:pStyle w:val="FootnoteText"/>
        <w:rPr>
          <w:lang w:val="en-US"/>
        </w:rPr>
      </w:pPr>
      <w:r>
        <w:rPr>
          <w:rStyle w:val="FootnoteReference"/>
        </w:rPr>
        <w:footnoteRef/>
      </w:r>
      <w:r>
        <w:t xml:space="preserve"> See </w:t>
      </w:r>
      <w:hyperlink r:id="rId96" w:history="1">
        <w:r w:rsidRPr="00F10D1F">
          <w:rPr>
            <w:rStyle w:val="Hyperlink"/>
          </w:rPr>
          <w:t>www.stats.govt.nz/information-releases/well-being-statistics-2016</w:t>
        </w:r>
      </w:hyperlink>
      <w:r>
        <w:t xml:space="preserve"> </w:t>
      </w:r>
    </w:p>
  </w:footnote>
  <w:footnote w:id="166">
    <w:p w:rsidR="003A486D" w:rsidRPr="00C46F0F" w:rsidRDefault="003A486D" w:rsidP="005C6961">
      <w:pPr>
        <w:pStyle w:val="FootnoteText"/>
        <w:rPr>
          <w:lang w:val="en-US"/>
        </w:rPr>
      </w:pPr>
      <w:r>
        <w:rPr>
          <w:rStyle w:val="FootnoteReference"/>
        </w:rPr>
        <w:footnoteRef/>
      </w:r>
      <w:r>
        <w:t xml:space="preserve"> See </w:t>
      </w:r>
      <w:hyperlink r:id="rId97" w:history="1">
        <w:r w:rsidRPr="00F10D1F">
          <w:rPr>
            <w:rStyle w:val="Hyperlink"/>
          </w:rPr>
          <w:t>www.health.govt.nz/our-work/disability-services/contracting-and-working-disability-support-services/equipment-and-modification-services</w:t>
        </w:r>
      </w:hyperlink>
      <w:r>
        <w:t xml:space="preserve"> </w:t>
      </w:r>
    </w:p>
  </w:footnote>
  <w:footnote w:id="167">
    <w:p w:rsidR="003A486D" w:rsidRPr="00E52D33" w:rsidRDefault="003A486D" w:rsidP="005C6961">
      <w:pPr>
        <w:pStyle w:val="FootnoteText"/>
        <w:rPr>
          <w:lang w:val="en-NZ"/>
        </w:rPr>
      </w:pPr>
      <w:r>
        <w:rPr>
          <w:rStyle w:val="FootnoteReference"/>
        </w:rPr>
        <w:footnoteRef/>
      </w:r>
      <w:r>
        <w:t xml:space="preserve"> </w:t>
      </w:r>
      <w:r>
        <w:rPr>
          <w:lang w:val="en-NZ"/>
        </w:rPr>
        <w:t xml:space="preserve">Action 9(g), Disability Action Plan 2014-2018 refers. See </w:t>
      </w:r>
      <w:hyperlink r:id="rId98" w:history="1">
        <w:r w:rsidRPr="00732E68">
          <w:rPr>
            <w:rStyle w:val="Hyperlink"/>
            <w:lang w:val="en-NZ"/>
          </w:rPr>
          <w:t>www.odi.govt.nz/nz-disability-strategy/outcome-5-accessibility</w:t>
        </w:r>
      </w:hyperlink>
      <w:r>
        <w:rPr>
          <w:lang w:val="en-NZ"/>
        </w:rPr>
        <w:t xml:space="preserve"> </w:t>
      </w:r>
    </w:p>
  </w:footnote>
  <w:footnote w:id="168">
    <w:p w:rsidR="003A486D" w:rsidRPr="009B1549" w:rsidRDefault="003A486D" w:rsidP="005C6961">
      <w:pPr>
        <w:pStyle w:val="FootnoteText"/>
        <w:rPr>
          <w:lang w:val="en-NZ"/>
        </w:rPr>
      </w:pPr>
      <w:r>
        <w:rPr>
          <w:rStyle w:val="FootnoteReference"/>
        </w:rPr>
        <w:footnoteRef/>
      </w:r>
      <w:r>
        <w:t xml:space="preserve"> Te Reo Māori is </w:t>
      </w:r>
      <w:r w:rsidRPr="009B1549">
        <w:t>the indigenous language of Aotearoa/New Zealand</w:t>
      </w:r>
    </w:p>
  </w:footnote>
  <w:footnote w:id="169">
    <w:p w:rsidR="003A486D" w:rsidRPr="00D03827" w:rsidRDefault="003A486D" w:rsidP="005C6961">
      <w:pPr>
        <w:pStyle w:val="FootnoteText"/>
        <w:rPr>
          <w:lang w:val="en-NZ"/>
        </w:rPr>
      </w:pPr>
      <w:r>
        <w:rPr>
          <w:rStyle w:val="FootnoteReference"/>
        </w:rPr>
        <w:footnoteRef/>
      </w:r>
      <w:r>
        <w:t xml:space="preserve"> </w:t>
      </w:r>
      <w:r>
        <w:rPr>
          <w:lang w:val="en-NZ"/>
        </w:rPr>
        <w:t xml:space="preserve">See </w:t>
      </w:r>
      <w:hyperlink r:id="rId99" w:history="1">
        <w:r w:rsidRPr="00985071">
          <w:rPr>
            <w:rStyle w:val="Hyperlink"/>
            <w:lang w:val="en-NZ"/>
          </w:rPr>
          <w:t>www.msd.govt.nz/about-msd-and-our-work/newsroom/2018/accessible-public-information.html</w:t>
        </w:r>
      </w:hyperlink>
      <w:r>
        <w:rPr>
          <w:lang w:val="en-NZ"/>
        </w:rPr>
        <w:t xml:space="preserve"> </w:t>
      </w:r>
    </w:p>
  </w:footnote>
  <w:footnote w:id="170">
    <w:p w:rsidR="003A486D" w:rsidRPr="00C511A0" w:rsidRDefault="003A486D" w:rsidP="005C6961">
      <w:pPr>
        <w:pStyle w:val="FootnoteText"/>
        <w:rPr>
          <w:lang w:val="en-NZ"/>
        </w:rPr>
      </w:pPr>
      <w:r>
        <w:rPr>
          <w:rStyle w:val="FootnoteReference"/>
        </w:rPr>
        <w:footnoteRef/>
      </w:r>
      <w:r>
        <w:t xml:space="preserve"> </w:t>
      </w:r>
      <w:r>
        <w:rPr>
          <w:lang w:val="en-NZ"/>
        </w:rPr>
        <w:t xml:space="preserve">Namely the DPOs representing print disabilities: Association of Blind Citizens New Zealand, Deaf Aotearoa and People First New Zealand. Action 9(a), Disability Action Plan 2014-2018 refers. See </w:t>
      </w:r>
      <w:hyperlink r:id="rId100" w:history="1">
        <w:r w:rsidRPr="00732E68">
          <w:rPr>
            <w:rStyle w:val="Hyperlink"/>
            <w:lang w:val="en-NZ"/>
          </w:rPr>
          <w:t>www.odi.govt.nz/nz-disability-strategy/outcome-5-accessibility/</w:t>
        </w:r>
      </w:hyperlink>
      <w:r>
        <w:rPr>
          <w:lang w:val="en-NZ"/>
        </w:rPr>
        <w:t xml:space="preserve"> </w:t>
      </w:r>
    </w:p>
  </w:footnote>
  <w:footnote w:id="171">
    <w:p w:rsidR="003A486D" w:rsidRPr="008F258A" w:rsidRDefault="003A486D" w:rsidP="005C6961">
      <w:pPr>
        <w:pStyle w:val="FootnoteText"/>
        <w:rPr>
          <w:lang w:val="en-NZ"/>
        </w:rPr>
      </w:pPr>
      <w:r>
        <w:rPr>
          <w:rStyle w:val="FootnoteReference"/>
        </w:rPr>
        <w:footnoteRef/>
      </w:r>
      <w:r>
        <w:t xml:space="preserve"> See </w:t>
      </w:r>
      <w:hyperlink r:id="rId101" w:history="1">
        <w:r w:rsidRPr="00572B59">
          <w:rPr>
            <w:rStyle w:val="Hyperlink"/>
          </w:rPr>
          <w:t>www.parliament.nz/resource/en-NZ/SCR_74810/949a5e80d88b6ccea3f190aa4fe37137834e81bc</w:t>
        </w:r>
      </w:hyperlink>
    </w:p>
  </w:footnote>
  <w:footnote w:id="172">
    <w:p w:rsidR="003A486D" w:rsidRPr="00865CFF" w:rsidRDefault="003A486D" w:rsidP="005C6961">
      <w:pPr>
        <w:pStyle w:val="FootnoteText"/>
        <w:rPr>
          <w:lang w:val="en-US"/>
        </w:rPr>
      </w:pPr>
      <w:r>
        <w:rPr>
          <w:rStyle w:val="FootnoteReference"/>
        </w:rPr>
        <w:footnoteRef/>
      </w:r>
      <w:r>
        <w:t xml:space="preserve"> Cabinet Minute (03)41/2B. See </w:t>
      </w:r>
      <w:hyperlink r:id="rId102" w:history="1">
        <w:r w:rsidRPr="00F10D1F">
          <w:rPr>
            <w:rStyle w:val="Hyperlink"/>
          </w:rPr>
          <w:t>www.digital.govt.nz/standards-and-guidance/design-and-ux/accessibility/</w:t>
        </w:r>
      </w:hyperlink>
      <w:r>
        <w:t xml:space="preserve"> </w:t>
      </w:r>
    </w:p>
  </w:footnote>
  <w:footnote w:id="173">
    <w:p w:rsidR="003A486D" w:rsidRPr="00B34942" w:rsidRDefault="003A486D" w:rsidP="005C6961">
      <w:pPr>
        <w:pStyle w:val="FootnoteText"/>
        <w:rPr>
          <w:lang w:val="en-NZ"/>
        </w:rPr>
      </w:pPr>
      <w:r>
        <w:rPr>
          <w:rStyle w:val="FootnoteReference"/>
        </w:rPr>
        <w:footnoteRef/>
      </w:r>
      <w:r>
        <w:t xml:space="preserve"> </w:t>
      </w:r>
      <w:r w:rsidRPr="00B34942">
        <w:t>Expenses for equipment and workplace modification on average are approximately $0.5m per year.</w:t>
      </w:r>
    </w:p>
  </w:footnote>
  <w:footnote w:id="174">
    <w:p w:rsidR="003A486D" w:rsidRPr="002319BB" w:rsidRDefault="003A486D" w:rsidP="005C6961">
      <w:pPr>
        <w:pStyle w:val="FootnoteText"/>
        <w:rPr>
          <w:lang w:val="en-NZ"/>
        </w:rPr>
      </w:pPr>
      <w:r>
        <w:rPr>
          <w:rStyle w:val="FootnoteReference"/>
        </w:rPr>
        <w:footnoteRef/>
      </w:r>
      <w:r>
        <w:t xml:space="preserve"> Agreements are made under both sections for out-of-home care for disabled children or young people. S141 agreements are with providers approved under s396 of the Act and s142 agreements are with providers registered under the Disabled Persons Community Welfare Act 1975.</w:t>
      </w:r>
    </w:p>
  </w:footnote>
  <w:footnote w:id="175">
    <w:p w:rsidR="003A486D" w:rsidRPr="00D73D0B" w:rsidRDefault="003A486D" w:rsidP="005C6961">
      <w:pPr>
        <w:pStyle w:val="FootnoteText"/>
        <w:rPr>
          <w:lang w:val="en-NZ"/>
        </w:rPr>
      </w:pPr>
      <w:r>
        <w:rPr>
          <w:rStyle w:val="FootnoteReference"/>
        </w:rPr>
        <w:footnoteRef/>
      </w:r>
      <w:r>
        <w:t xml:space="preserve"> </w:t>
      </w:r>
      <w:r w:rsidRPr="00357070">
        <w:rPr>
          <w:lang w:val="en-NZ"/>
        </w:rPr>
        <w:t>Information about the review, and a copy of the consultation findings</w:t>
      </w:r>
      <w:r>
        <w:rPr>
          <w:lang w:val="en-NZ"/>
        </w:rPr>
        <w:t>,</w:t>
      </w:r>
      <w:r w:rsidRPr="001A2079">
        <w:rPr>
          <w:lang w:val="en-NZ"/>
        </w:rPr>
        <w:t xml:space="preserve"> </w:t>
      </w:r>
      <w:r>
        <w:rPr>
          <w:lang w:val="en-NZ"/>
        </w:rPr>
        <w:t>are</w:t>
      </w:r>
      <w:r w:rsidRPr="00357070">
        <w:rPr>
          <w:lang w:val="en-NZ"/>
        </w:rPr>
        <w:t xml:space="preserve"> available on the </w:t>
      </w:r>
      <w:r w:rsidRPr="00E16F89">
        <w:rPr>
          <w:lang w:val="en-NZ"/>
        </w:rPr>
        <w:t>Ministry of Social Development website</w:t>
      </w:r>
      <w:r w:rsidRPr="00357070">
        <w:rPr>
          <w:lang w:val="en-NZ"/>
        </w:rPr>
        <w:t xml:space="preserve">: </w:t>
      </w:r>
      <w:hyperlink r:id="rId103" w:history="1">
        <w:r w:rsidRPr="00F10D1F">
          <w:rPr>
            <w:rStyle w:val="Hyperlink"/>
            <w:lang w:val="en-NZ"/>
          </w:rPr>
          <w:t>www.msd.govt.nz/about-msd-and-our-work/work-programmes/policy-development/disabled-children-project/index.html</w:t>
        </w:r>
      </w:hyperlink>
      <w:r>
        <w:rPr>
          <w:lang w:val="en-NZ"/>
        </w:rPr>
        <w:t xml:space="preserve"> </w:t>
      </w:r>
    </w:p>
  </w:footnote>
  <w:footnote w:id="176">
    <w:p w:rsidR="003A486D" w:rsidRPr="00D73D0B" w:rsidRDefault="003A486D" w:rsidP="005C6961">
      <w:pPr>
        <w:pStyle w:val="FootnoteText"/>
        <w:rPr>
          <w:lang w:val="en-NZ"/>
        </w:rPr>
      </w:pPr>
      <w:r>
        <w:rPr>
          <w:rStyle w:val="FootnoteReference"/>
        </w:rPr>
        <w:footnoteRef/>
      </w:r>
      <w:r>
        <w:t xml:space="preserve"> </w:t>
      </w:r>
      <w:r w:rsidRPr="00357070">
        <w:rPr>
          <w:lang w:val="en-NZ"/>
        </w:rPr>
        <w:t>Information about the review, and a copy of the consultation findings</w:t>
      </w:r>
      <w:r>
        <w:rPr>
          <w:lang w:val="en-NZ"/>
        </w:rPr>
        <w:t>,</w:t>
      </w:r>
      <w:r w:rsidRPr="001A2079">
        <w:rPr>
          <w:lang w:val="en-NZ"/>
        </w:rPr>
        <w:t xml:space="preserve"> </w:t>
      </w:r>
      <w:r>
        <w:rPr>
          <w:lang w:val="en-NZ"/>
        </w:rPr>
        <w:t>are</w:t>
      </w:r>
      <w:r w:rsidRPr="00357070">
        <w:rPr>
          <w:lang w:val="en-NZ"/>
        </w:rPr>
        <w:t xml:space="preserve"> available on the </w:t>
      </w:r>
      <w:r w:rsidRPr="00E16F89">
        <w:rPr>
          <w:lang w:val="en-NZ"/>
        </w:rPr>
        <w:t>Ministry of Social Development website</w:t>
      </w:r>
      <w:r w:rsidRPr="00357070">
        <w:rPr>
          <w:lang w:val="en-NZ"/>
        </w:rPr>
        <w:t xml:space="preserve">: </w:t>
      </w:r>
      <w:hyperlink r:id="rId104" w:history="1">
        <w:r w:rsidRPr="00F10D1F">
          <w:rPr>
            <w:rStyle w:val="Hyperlink"/>
            <w:lang w:val="en-NZ"/>
          </w:rPr>
          <w:t>www.msd.govt.nz/about-msd-and-our-work/work-programmes/policy-development/disabled-children-project/index.html</w:t>
        </w:r>
      </w:hyperlink>
      <w:r>
        <w:rPr>
          <w:lang w:val="en-NZ"/>
        </w:rPr>
        <w:t xml:space="preserve"> </w:t>
      </w:r>
    </w:p>
  </w:footnote>
  <w:footnote w:id="177">
    <w:p w:rsidR="003A486D" w:rsidRPr="00865CFF" w:rsidRDefault="003A486D" w:rsidP="005C6961">
      <w:pPr>
        <w:pStyle w:val="FootnoteText"/>
        <w:rPr>
          <w:lang w:val="en-US"/>
        </w:rPr>
      </w:pPr>
      <w:r>
        <w:rPr>
          <w:rStyle w:val="FootnoteReference"/>
        </w:rPr>
        <w:footnoteRef/>
      </w:r>
      <w:r>
        <w:t xml:space="preserve"> See </w:t>
      </w:r>
      <w:hyperlink r:id="rId105" w:history="1">
        <w:r w:rsidRPr="00F10D1F">
          <w:rPr>
            <w:rStyle w:val="Hyperlink"/>
          </w:rPr>
          <w:t>www.legislation.govt.nz/act/public/1955/0093/35.0/DLM292661.html</w:t>
        </w:r>
      </w:hyperlink>
      <w:r>
        <w:t xml:space="preserve"> </w:t>
      </w:r>
    </w:p>
  </w:footnote>
  <w:footnote w:id="178">
    <w:p w:rsidR="003A486D" w:rsidRPr="00B40E9A" w:rsidRDefault="003A486D" w:rsidP="005C6961">
      <w:pPr>
        <w:pStyle w:val="FootnoteText"/>
        <w:rPr>
          <w:lang w:val="en-NZ"/>
        </w:rPr>
      </w:pPr>
      <w:r>
        <w:rPr>
          <w:rStyle w:val="FootnoteReference"/>
        </w:rPr>
        <w:footnoteRef/>
      </w:r>
      <w:r>
        <w:t xml:space="preserve"> </w:t>
      </w:r>
      <w:r>
        <w:rPr>
          <w:lang w:val="en-NZ"/>
        </w:rPr>
        <w:t>HC New Plymouth CP31/92, 18 October 1993.</w:t>
      </w:r>
    </w:p>
  </w:footnote>
  <w:footnote w:id="179">
    <w:p w:rsidR="003A486D" w:rsidRPr="0098581F" w:rsidRDefault="003A486D" w:rsidP="005C6961">
      <w:pPr>
        <w:pStyle w:val="FootnoteText"/>
        <w:rPr>
          <w:lang w:val="en-NZ"/>
        </w:rPr>
      </w:pPr>
      <w:r>
        <w:rPr>
          <w:rStyle w:val="FootnoteReference"/>
        </w:rPr>
        <w:footnoteRef/>
      </w:r>
      <w:r>
        <w:t xml:space="preserve"> See </w:t>
      </w:r>
      <w:hyperlink w:history="1">
        <w:r w:rsidRPr="00732E68">
          <w:rPr>
            <w:rStyle w:val="Hyperlink"/>
          </w:rPr>
          <w:t>www.healthed.govt.nz/resource/antenatal-screening-and-testing-down-syndrome-and-other-conditions</w:t>
        </w:r>
      </w:hyperlink>
      <w:r>
        <w:t xml:space="preserve"> </w:t>
      </w:r>
    </w:p>
  </w:footnote>
  <w:footnote w:id="180">
    <w:p w:rsidR="003A486D" w:rsidRPr="00D03827" w:rsidRDefault="003A486D" w:rsidP="005C6961">
      <w:pPr>
        <w:pStyle w:val="FootnoteText"/>
        <w:rPr>
          <w:lang w:val="en-NZ"/>
        </w:rPr>
      </w:pPr>
      <w:r>
        <w:rPr>
          <w:rStyle w:val="FootnoteReference"/>
        </w:rPr>
        <w:footnoteRef/>
      </w:r>
      <w:r>
        <w:t xml:space="preserve"> </w:t>
      </w:r>
      <w:r>
        <w:rPr>
          <w:lang w:val="en-NZ"/>
        </w:rPr>
        <w:t xml:space="preserve">See </w:t>
      </w:r>
      <w:hyperlink r:id="rId106" w:history="1">
        <w:r w:rsidRPr="00A61565">
          <w:rPr>
            <w:rStyle w:val="Hyperlink"/>
            <w:lang w:val="en-NZ"/>
          </w:rPr>
          <w:t>http://www.nzdsa.org.nz/</w:t>
        </w:r>
      </w:hyperlink>
      <w:r>
        <w:rPr>
          <w:lang w:val="en-NZ"/>
        </w:rPr>
        <w:t xml:space="preserve"> </w:t>
      </w:r>
    </w:p>
  </w:footnote>
  <w:footnote w:id="181">
    <w:p w:rsidR="003A486D" w:rsidRPr="00043363" w:rsidRDefault="003A486D" w:rsidP="005C6961">
      <w:pPr>
        <w:pStyle w:val="FootnoteText"/>
        <w:rPr>
          <w:lang w:val="en-NZ"/>
        </w:rPr>
      </w:pPr>
      <w:r>
        <w:rPr>
          <w:rStyle w:val="FootnoteReference"/>
        </w:rPr>
        <w:footnoteRef/>
      </w:r>
      <w:r>
        <w:t xml:space="preserve"> The </w:t>
      </w:r>
      <w:r w:rsidRPr="00942A6F">
        <w:rPr>
          <w:i/>
        </w:rPr>
        <w:t>Education Act 1989</w:t>
      </w:r>
      <w:r>
        <w:rPr>
          <w:i/>
        </w:rPr>
        <w:t xml:space="preserve">, </w:t>
      </w:r>
      <w:r>
        <w:rPr>
          <w:lang w:val="en-NZ"/>
        </w:rPr>
        <w:t>Section 8</w:t>
      </w:r>
    </w:p>
  </w:footnote>
  <w:footnote w:id="182">
    <w:p w:rsidR="003A486D" w:rsidRPr="00AA338A" w:rsidRDefault="003A486D" w:rsidP="005C6961">
      <w:pPr>
        <w:pStyle w:val="FootnoteText"/>
        <w:rPr>
          <w:lang w:val="en-NZ"/>
        </w:rPr>
      </w:pPr>
      <w:r>
        <w:rPr>
          <w:rStyle w:val="FootnoteReference"/>
        </w:rPr>
        <w:footnoteRef/>
      </w:r>
      <w:r>
        <w:t xml:space="preserve"> The Dispute resolution Process is available in Auckland, </w:t>
      </w:r>
      <w:r w:rsidRPr="00AA338A">
        <w:t>Whanganui/Manawatu</w:t>
      </w:r>
      <w:r>
        <w:t xml:space="preserve">, </w:t>
      </w:r>
      <w:r w:rsidRPr="00AA338A">
        <w:t>Nelson/Marlborough/West Coast</w:t>
      </w:r>
      <w:r>
        <w:t xml:space="preserve">. </w:t>
      </w:r>
      <w:r>
        <w:rPr>
          <w:lang w:val="en-NZ"/>
        </w:rPr>
        <w:t xml:space="preserve">See </w:t>
      </w:r>
      <w:hyperlink r:id="rId107" w:history="1">
        <w:r w:rsidRPr="00732E68">
          <w:rPr>
            <w:rStyle w:val="Hyperlink"/>
            <w:lang w:val="en-NZ"/>
          </w:rPr>
          <w:t>https://parents.education.govt.nz/learning-support/learning-support-needs/resolving-problems-about-your-childs-learning-support/</w:t>
        </w:r>
      </w:hyperlink>
      <w:r>
        <w:rPr>
          <w:lang w:val="en-NZ"/>
        </w:rPr>
        <w:t xml:space="preserve"> </w:t>
      </w:r>
    </w:p>
  </w:footnote>
  <w:footnote w:id="183">
    <w:p w:rsidR="003A486D" w:rsidRPr="001A20DB" w:rsidRDefault="003A486D" w:rsidP="005C6961">
      <w:pPr>
        <w:pStyle w:val="FootnoteText"/>
        <w:rPr>
          <w:lang w:val="en-NZ"/>
        </w:rPr>
      </w:pPr>
      <w:r>
        <w:rPr>
          <w:rStyle w:val="FootnoteReference"/>
        </w:rPr>
        <w:footnoteRef/>
      </w:r>
      <w:r>
        <w:t xml:space="preserve"> A Board of Trustees is the governing body of a school.</w:t>
      </w:r>
    </w:p>
  </w:footnote>
  <w:footnote w:id="184">
    <w:p w:rsidR="003A486D" w:rsidRPr="00F83EFD" w:rsidRDefault="003A486D" w:rsidP="005C6961">
      <w:pPr>
        <w:pStyle w:val="FootnoteText"/>
        <w:rPr>
          <w:lang w:val="en-NZ"/>
        </w:rPr>
      </w:pPr>
      <w:r>
        <w:rPr>
          <w:rStyle w:val="FootnoteReference"/>
        </w:rPr>
        <w:footnoteRef/>
      </w:r>
      <w:r>
        <w:t xml:space="preserve"> </w:t>
      </w:r>
      <w:r>
        <w:rPr>
          <w:lang w:val="en-NZ"/>
        </w:rPr>
        <w:t xml:space="preserve">See </w:t>
      </w:r>
      <w:hyperlink r:id="rId108" w:history="1">
        <w:r w:rsidRPr="00732E68">
          <w:rPr>
            <w:rStyle w:val="Hyperlink"/>
            <w:lang w:val="en-NZ"/>
          </w:rPr>
          <w:t>https://gazette.govt.nz/notice/id/2017-gs3288</w:t>
        </w:r>
      </w:hyperlink>
      <w:r>
        <w:rPr>
          <w:lang w:val="en-NZ"/>
        </w:rPr>
        <w:t xml:space="preserve"> </w:t>
      </w:r>
    </w:p>
  </w:footnote>
  <w:footnote w:id="185">
    <w:p w:rsidR="003A486D" w:rsidRPr="001F434B" w:rsidRDefault="003A486D" w:rsidP="005C6961">
      <w:pPr>
        <w:pStyle w:val="FootnoteText"/>
        <w:rPr>
          <w:lang w:val="en-NZ"/>
        </w:rPr>
      </w:pPr>
      <w:r>
        <w:rPr>
          <w:rStyle w:val="FootnoteReference"/>
        </w:rPr>
        <w:footnoteRef/>
      </w:r>
      <w:r>
        <w:t xml:space="preserve"> See </w:t>
      </w:r>
      <w:hyperlink r:id="rId109" w:history="1">
        <w:r w:rsidRPr="005E1394">
          <w:rPr>
            <w:rStyle w:val="Hyperlink"/>
          </w:rPr>
          <w:t>https://www.beehive.govt.nz/release/new-workforce-game-changer-kids-learning-needs</w:t>
        </w:r>
      </w:hyperlink>
      <w:r>
        <w:t xml:space="preserve"> </w:t>
      </w:r>
    </w:p>
  </w:footnote>
  <w:footnote w:id="186">
    <w:p w:rsidR="003A486D" w:rsidRPr="00043363" w:rsidRDefault="003A486D" w:rsidP="005C6961">
      <w:pPr>
        <w:pStyle w:val="FootnoteText"/>
        <w:rPr>
          <w:lang w:val="en-NZ"/>
        </w:rPr>
      </w:pPr>
      <w:r>
        <w:rPr>
          <w:rStyle w:val="FootnoteReference"/>
        </w:rPr>
        <w:footnoteRef/>
      </w:r>
      <w:r>
        <w:t xml:space="preserve"> </w:t>
      </w:r>
      <w:r w:rsidRPr="00043363">
        <w:rPr>
          <w:i/>
        </w:rPr>
        <w:t>The</w:t>
      </w:r>
      <w:r w:rsidRPr="00237D85">
        <w:t xml:space="preserve"> </w:t>
      </w:r>
      <w:r w:rsidRPr="00237D85">
        <w:rPr>
          <w:i/>
        </w:rPr>
        <w:t>Bullying Prevention Advisory Group</w:t>
      </w:r>
      <w:r>
        <w:t xml:space="preserve"> is a partnership of 15</w:t>
      </w:r>
      <w:r w:rsidRPr="00237D85">
        <w:t xml:space="preserve"> organisations from the education, health, justice and social sectors and internet safety and human rights advocacy groups.</w:t>
      </w:r>
    </w:p>
  </w:footnote>
  <w:footnote w:id="187">
    <w:p w:rsidR="003A486D" w:rsidRPr="00C931FA" w:rsidRDefault="003A486D" w:rsidP="005C6961">
      <w:pPr>
        <w:pStyle w:val="FootnoteText"/>
        <w:rPr>
          <w:lang w:val="en-NZ"/>
        </w:rPr>
      </w:pPr>
      <w:r>
        <w:rPr>
          <w:rStyle w:val="FootnoteReference"/>
        </w:rPr>
        <w:footnoteRef/>
      </w:r>
      <w:r>
        <w:t xml:space="preserve"> </w:t>
      </w:r>
      <w:r>
        <w:rPr>
          <w:lang w:val="en-NZ"/>
        </w:rPr>
        <w:t xml:space="preserve">Data found here: </w:t>
      </w:r>
      <w:hyperlink r:id="rId110" w:history="1">
        <w:r w:rsidRPr="009F6A53">
          <w:rPr>
            <w:rStyle w:val="Hyperlink"/>
            <w:lang w:val="en-NZ"/>
          </w:rPr>
          <w:t>www.educationcounts.govt.nz/statistics/special-education/ongoing-resourcing-scheme</w:t>
        </w:r>
      </w:hyperlink>
      <w:r>
        <w:rPr>
          <w:lang w:val="en-NZ"/>
        </w:rPr>
        <w:t xml:space="preserve"> </w:t>
      </w:r>
    </w:p>
  </w:footnote>
  <w:footnote w:id="188">
    <w:p w:rsidR="003A486D" w:rsidRPr="00513338" w:rsidRDefault="003A486D" w:rsidP="005C6961">
      <w:pPr>
        <w:pStyle w:val="FootnoteText"/>
        <w:rPr>
          <w:lang w:val="en-NZ"/>
        </w:rPr>
      </w:pPr>
      <w:r>
        <w:rPr>
          <w:rStyle w:val="FootnoteReference"/>
        </w:rPr>
        <w:footnoteRef/>
      </w:r>
      <w:r>
        <w:t xml:space="preserve"> “</w:t>
      </w:r>
      <w:r w:rsidRPr="00237D85">
        <w:t>Kaitakawaenga</w:t>
      </w:r>
      <w:r>
        <w:t>” is the Te Reo word meaning “mediator, arbitrator”.</w:t>
      </w:r>
    </w:p>
  </w:footnote>
  <w:footnote w:id="189">
    <w:p w:rsidR="003A486D" w:rsidRPr="00D07F88" w:rsidRDefault="003A486D" w:rsidP="005C6961">
      <w:pPr>
        <w:pStyle w:val="FootnoteText"/>
        <w:rPr>
          <w:highlight w:val="yellow"/>
          <w:lang w:val="en-NZ"/>
        </w:rPr>
      </w:pPr>
      <w:r w:rsidRPr="00513338">
        <w:rPr>
          <w:rStyle w:val="FootnoteReference"/>
        </w:rPr>
        <w:footnoteRef/>
      </w:r>
      <w:r w:rsidRPr="00513338">
        <w:t xml:space="preserve"> </w:t>
      </w:r>
      <w:r>
        <w:t>“</w:t>
      </w:r>
      <w:r w:rsidRPr="00513338">
        <w:t>Tamariki</w:t>
      </w:r>
      <w:r>
        <w:t>” is the Te Reo word meaning “</w:t>
      </w:r>
      <w:r w:rsidRPr="00513338">
        <w:t>children - normally used only in the plural</w:t>
      </w:r>
      <w:r>
        <w:t>”</w:t>
      </w:r>
      <w:r w:rsidRPr="00513338">
        <w:t>.</w:t>
      </w:r>
      <w:r>
        <w:t xml:space="preserve"> </w:t>
      </w:r>
    </w:p>
  </w:footnote>
  <w:footnote w:id="190">
    <w:p w:rsidR="003A486D" w:rsidRPr="00513338" w:rsidRDefault="003A486D" w:rsidP="005C6961">
      <w:pPr>
        <w:pStyle w:val="FootnoteText"/>
        <w:rPr>
          <w:lang w:val="en-NZ"/>
        </w:rPr>
      </w:pPr>
      <w:r>
        <w:rPr>
          <w:rStyle w:val="FootnoteReference"/>
        </w:rPr>
        <w:footnoteRef/>
      </w:r>
      <w:r>
        <w:t xml:space="preserve"> “</w:t>
      </w:r>
      <w:r>
        <w:rPr>
          <w:lang w:val="en-NZ"/>
        </w:rPr>
        <w:t xml:space="preserve">Whānau” </w:t>
      </w:r>
      <w:r>
        <w:t>is the Te Reo word meaning</w:t>
      </w:r>
      <w:r>
        <w:rPr>
          <w:lang w:val="en-NZ"/>
        </w:rPr>
        <w:t xml:space="preserve"> “</w:t>
      </w:r>
      <w:r w:rsidRPr="00552E45">
        <w:rPr>
          <w:lang w:val="en-NZ"/>
        </w:rPr>
        <w:t>extended family, family group, a familiar term of address to a number of people - the primary economic unit of traditional Māori society. In the modern context the term is sometimes used to include friends who may not have any kinship ties to other members.</w:t>
      </w:r>
      <w:r>
        <w:rPr>
          <w:lang w:val="en-NZ"/>
        </w:rPr>
        <w:t>”</w:t>
      </w:r>
    </w:p>
  </w:footnote>
  <w:footnote w:id="191">
    <w:p w:rsidR="003A486D" w:rsidRPr="00D07F88" w:rsidRDefault="003A486D" w:rsidP="005C6961">
      <w:pPr>
        <w:pStyle w:val="FootnoteText"/>
        <w:rPr>
          <w:highlight w:val="yellow"/>
          <w:lang w:val="en-NZ"/>
        </w:rPr>
      </w:pPr>
      <w:r w:rsidRPr="00552E45">
        <w:rPr>
          <w:rStyle w:val="FootnoteReference"/>
        </w:rPr>
        <w:footnoteRef/>
      </w:r>
      <w:r w:rsidRPr="00552E45">
        <w:t xml:space="preserve"> </w:t>
      </w:r>
      <w:r>
        <w:t>“</w:t>
      </w:r>
      <w:r w:rsidRPr="00552E45">
        <w:t>Hapū</w:t>
      </w:r>
      <w:r>
        <w:t>” is the Te Reo word meaning</w:t>
      </w:r>
      <w:r w:rsidRPr="00552E45">
        <w:rPr>
          <w:lang w:val="en-NZ"/>
        </w:rPr>
        <w:t xml:space="preserve"> “kinship group, clan, tribe, subtribe - section of a large kinship group and the primary political unit in traditional Māori society. It consisted of a number of whānau sharing descent from a common ancestor, usually being named after the ancestor, but sometimes from an important event in the group's history. A number of related hapū usually shared adjacent territories forming a looser tribal federation (iwi).</w:t>
      </w:r>
      <w:r>
        <w:rPr>
          <w:lang w:val="en-NZ"/>
        </w:rPr>
        <w:t>”</w:t>
      </w:r>
    </w:p>
  </w:footnote>
  <w:footnote w:id="192">
    <w:p w:rsidR="003A486D" w:rsidRPr="00B7577F" w:rsidRDefault="003A486D" w:rsidP="005C6961">
      <w:pPr>
        <w:pStyle w:val="FootnoteText"/>
        <w:rPr>
          <w:lang w:val="en-NZ"/>
        </w:rPr>
      </w:pPr>
      <w:r w:rsidRPr="00552E45">
        <w:rPr>
          <w:rStyle w:val="FootnoteReference"/>
        </w:rPr>
        <w:footnoteRef/>
      </w:r>
      <w:r w:rsidRPr="00552E45">
        <w:t xml:space="preserve"> </w:t>
      </w:r>
      <w:r>
        <w:t>“</w:t>
      </w:r>
      <w:r w:rsidRPr="00552E45">
        <w:t>Iwi</w:t>
      </w:r>
      <w:r>
        <w:t>” is the Te Reo word meaning</w:t>
      </w:r>
      <w:r>
        <w:rPr>
          <w:lang w:val="en-NZ"/>
        </w:rPr>
        <w:t xml:space="preserve"> “</w:t>
      </w:r>
      <w:r w:rsidRPr="00552E45">
        <w:rPr>
          <w:lang w:val="en-NZ"/>
        </w:rPr>
        <w:t>extended kinship group, tribe, nation, people, nationality, race - often refers to a large group of people descended from a common ancestor and associated with a distinct territory.</w:t>
      </w:r>
      <w:r>
        <w:rPr>
          <w:lang w:val="en-NZ"/>
        </w:rPr>
        <w:t>”</w:t>
      </w:r>
    </w:p>
  </w:footnote>
  <w:footnote w:id="193">
    <w:p w:rsidR="003A486D" w:rsidRPr="00D45A1E" w:rsidRDefault="003A486D" w:rsidP="005C6961">
      <w:pPr>
        <w:pStyle w:val="FootnoteText"/>
        <w:rPr>
          <w:lang w:val="en-NZ"/>
        </w:rPr>
      </w:pPr>
      <w:r>
        <w:rPr>
          <w:rStyle w:val="FootnoteReference"/>
        </w:rPr>
        <w:footnoteRef/>
      </w:r>
      <w:r>
        <w:t xml:space="preserve"> See </w:t>
      </w:r>
      <w:hyperlink r:id="rId111" w:history="1">
        <w:r w:rsidRPr="00F10D1F">
          <w:rPr>
            <w:rStyle w:val="Hyperlink"/>
          </w:rPr>
          <w:t>www.odi.govt.nz/nz-disability-strategy/outcome-3-health-and-wellbeing/</w:t>
        </w:r>
      </w:hyperlink>
      <w:r>
        <w:t xml:space="preserve"> </w:t>
      </w:r>
    </w:p>
  </w:footnote>
  <w:footnote w:id="194">
    <w:p w:rsidR="003A486D" w:rsidRPr="0048577E" w:rsidRDefault="003A486D" w:rsidP="005C6961">
      <w:pPr>
        <w:pStyle w:val="FootnoteText"/>
        <w:rPr>
          <w:lang w:val="en-NZ"/>
        </w:rPr>
      </w:pPr>
      <w:r>
        <w:rPr>
          <w:rStyle w:val="FootnoteReference"/>
        </w:rPr>
        <w:footnoteRef/>
      </w:r>
      <w:r>
        <w:t xml:space="preserve"> </w:t>
      </w:r>
      <w:r>
        <w:rPr>
          <w:lang w:val="en-NZ"/>
        </w:rPr>
        <w:t xml:space="preserve">See </w:t>
      </w:r>
      <w:hyperlink r:id="rId112" w:history="1">
        <w:r w:rsidRPr="000A0C01">
          <w:rPr>
            <w:rStyle w:val="Hyperlink"/>
          </w:rPr>
          <w:t>www.tepou.co.nz/uploads/files/resource-assets/improving-access-to-primary-care-for-disabled-people.pdf</w:t>
        </w:r>
      </w:hyperlink>
      <w:r>
        <w:t xml:space="preserve"> </w:t>
      </w:r>
      <w:r w:rsidRPr="0048577E">
        <w:t xml:space="preserve"> (2013)</w:t>
      </w:r>
    </w:p>
  </w:footnote>
  <w:footnote w:id="195">
    <w:p w:rsidR="003A486D" w:rsidRPr="008F6A58" w:rsidRDefault="003A486D" w:rsidP="005C6961">
      <w:pPr>
        <w:pStyle w:val="FootnoteText"/>
        <w:rPr>
          <w:lang w:val="en-NZ"/>
        </w:rPr>
      </w:pPr>
      <w:r>
        <w:rPr>
          <w:rStyle w:val="FootnoteReference"/>
        </w:rPr>
        <w:footnoteRef/>
      </w:r>
      <w:r>
        <w:t xml:space="preserve"> </w:t>
      </w:r>
      <w:r>
        <w:rPr>
          <w:lang w:val="en-NZ"/>
        </w:rPr>
        <w:t xml:space="preserve">“he korowai oranga” is Te Reo meaning “the cloak of wellness”. </w:t>
      </w:r>
    </w:p>
  </w:footnote>
  <w:footnote w:id="196">
    <w:p w:rsidR="003A486D" w:rsidRPr="002E07BD" w:rsidRDefault="003A486D" w:rsidP="005C6961">
      <w:pPr>
        <w:pStyle w:val="FootnoteText"/>
        <w:rPr>
          <w:lang w:val="en-NZ"/>
        </w:rPr>
      </w:pPr>
      <w:r>
        <w:rPr>
          <w:rStyle w:val="FootnoteReference"/>
        </w:rPr>
        <w:footnoteRef/>
      </w:r>
      <w:r>
        <w:t xml:space="preserve"> See </w:t>
      </w:r>
      <w:hyperlink r:id="rId113" w:history="1">
        <w:r w:rsidRPr="00F10D1F">
          <w:rPr>
            <w:rStyle w:val="Hyperlink"/>
          </w:rPr>
          <w:t>www.health.govt.nz/our-work/populations/maori-health/he-korowai-oranga</w:t>
        </w:r>
      </w:hyperlink>
      <w:r>
        <w:t xml:space="preserve">   </w:t>
      </w:r>
    </w:p>
  </w:footnote>
  <w:footnote w:id="197">
    <w:p w:rsidR="003A486D" w:rsidRPr="008F6A58" w:rsidRDefault="003A486D" w:rsidP="005C6961">
      <w:pPr>
        <w:pStyle w:val="FootnoteText"/>
        <w:rPr>
          <w:lang w:val="en-NZ"/>
        </w:rPr>
      </w:pPr>
      <w:r>
        <w:rPr>
          <w:rStyle w:val="FootnoteReference"/>
        </w:rPr>
        <w:footnoteRef/>
      </w:r>
      <w:r>
        <w:t xml:space="preserve"> </w:t>
      </w:r>
      <w:r w:rsidRPr="00D12F91">
        <w:t>'Whaia te Ao Marama' in Te Reo means pursui</w:t>
      </w:r>
      <w:r>
        <w:t xml:space="preserve">ng the world of enlightenment. </w:t>
      </w:r>
      <w:r w:rsidRPr="00D12F91">
        <w:t>For the purposes of the plan, ‘Whāia te ao mārama’ means to pursue and enable a good life that is self-determined, through enlightened supports.</w:t>
      </w:r>
    </w:p>
  </w:footnote>
  <w:footnote w:id="198">
    <w:p w:rsidR="003A486D" w:rsidRPr="002E07BD" w:rsidRDefault="003A486D" w:rsidP="005C6961">
      <w:pPr>
        <w:pStyle w:val="FootnoteText"/>
        <w:rPr>
          <w:lang w:val="en-NZ"/>
        </w:rPr>
      </w:pPr>
      <w:r>
        <w:rPr>
          <w:rStyle w:val="FootnoteReference"/>
        </w:rPr>
        <w:footnoteRef/>
      </w:r>
      <w:r>
        <w:t xml:space="preserve"> </w:t>
      </w:r>
      <w:r>
        <w:rPr>
          <w:lang w:val="en-NZ"/>
        </w:rPr>
        <w:t xml:space="preserve">See </w:t>
      </w:r>
      <w:hyperlink r:id="rId114" w:history="1">
        <w:r w:rsidRPr="00F10D1F">
          <w:rPr>
            <w:rStyle w:val="Hyperlink"/>
            <w:lang w:val="en-NZ"/>
          </w:rPr>
          <w:t>www.health.govt.nz/publication/whaia-te-ao-marama-2018-2022-maori-disability-action-plan</w:t>
        </w:r>
      </w:hyperlink>
      <w:r>
        <w:rPr>
          <w:lang w:val="en-NZ"/>
        </w:rPr>
        <w:t xml:space="preserve">  </w:t>
      </w:r>
    </w:p>
  </w:footnote>
  <w:footnote w:id="199">
    <w:p w:rsidR="003A486D" w:rsidRPr="008F6A58" w:rsidRDefault="003A486D" w:rsidP="005C6961">
      <w:pPr>
        <w:pStyle w:val="FootnoteText"/>
        <w:rPr>
          <w:lang w:val="en-NZ"/>
        </w:rPr>
      </w:pPr>
      <w:r>
        <w:rPr>
          <w:rStyle w:val="FootnoteReference"/>
        </w:rPr>
        <w:footnoteRef/>
      </w:r>
      <w:r>
        <w:t xml:space="preserve"> </w:t>
      </w:r>
      <w:r>
        <w:rPr>
          <w:lang w:val="en-NZ"/>
        </w:rPr>
        <w:t>“</w:t>
      </w:r>
      <w:r w:rsidRPr="00682E08">
        <w:rPr>
          <w:lang w:val="en-NZ"/>
        </w:rPr>
        <w:t>Kaupapa” is Te Reo meaning “(noun) topic, policy, matter for discussion, plan, purpose, scheme, proposal, agenda, subject, programme, theme, issue, initiative.” The Kaupapa inquiries deal with nationally significant matters affecting Māori across New Zealand, and are not specific to any particular geographical area. The Kaupapa Inquiry Programme was issued in 2015 by the Waitangi Tribunal’s Chairperson, Chief Judge Wilson Isaac.</w:t>
      </w:r>
      <w:r w:rsidRPr="00682E08">
        <w:t xml:space="preserve"> </w:t>
      </w:r>
      <w:r>
        <w:t xml:space="preserve">See </w:t>
      </w:r>
      <w:hyperlink r:id="rId115" w:history="1">
        <w:r w:rsidRPr="00771712">
          <w:rPr>
            <w:rStyle w:val="Hyperlink"/>
          </w:rPr>
          <w:t>www.waitangitribunal.govt.nz/inquiries/kaupapa-inquiries/health-services-and-outcomes-inquiry/</w:t>
        </w:r>
      </w:hyperlink>
    </w:p>
  </w:footnote>
  <w:footnote w:id="200">
    <w:p w:rsidR="003A486D" w:rsidRPr="00865CFF" w:rsidRDefault="003A486D" w:rsidP="005C6961">
      <w:pPr>
        <w:pStyle w:val="FootnoteText"/>
        <w:rPr>
          <w:lang w:val="en-US"/>
        </w:rPr>
      </w:pPr>
      <w:r>
        <w:rPr>
          <w:rStyle w:val="FootnoteReference"/>
        </w:rPr>
        <w:footnoteRef/>
      </w:r>
      <w:r>
        <w:t xml:space="preserve"> </w:t>
      </w:r>
      <w:r w:rsidRPr="00D12F91">
        <w:t>’Ala Mo’ui is a combination of a number of Pacific languages meaning ‘pathways to the essence of life force’. It represents the holistic view of health and wellbeing, encompassing the physical, mental, cultural and spiritual dimensions that are important to Pacific people: Tongan (’Ala Mo’ui), Niuean (Ala Moui), Samoan (Ala), Cook Island Maori (Ara), Tokelauan (Ala), Tuvaluan (Ala).</w:t>
      </w:r>
      <w:r>
        <w:t xml:space="preserve"> See </w:t>
      </w:r>
      <w:hyperlink r:id="rId116" w:history="1">
        <w:r w:rsidRPr="00F10D1F">
          <w:rPr>
            <w:rStyle w:val="Hyperlink"/>
          </w:rPr>
          <w:t>www.health.govt.nz/publication/ala-moui-pathways-pacific-health-and-wellbeing-2014-2018</w:t>
        </w:r>
      </w:hyperlink>
      <w:r>
        <w:t xml:space="preserve">   </w:t>
      </w:r>
    </w:p>
  </w:footnote>
  <w:footnote w:id="201">
    <w:p w:rsidR="003A486D" w:rsidRPr="00BD6E40" w:rsidRDefault="003A486D" w:rsidP="005C6961">
      <w:pPr>
        <w:pStyle w:val="FootnoteText"/>
        <w:rPr>
          <w:lang w:val="en-NZ"/>
        </w:rPr>
      </w:pPr>
      <w:r>
        <w:rPr>
          <w:rStyle w:val="FootnoteReference"/>
        </w:rPr>
        <w:footnoteRef/>
      </w:r>
      <w:r>
        <w:t xml:space="preserve"> </w:t>
      </w:r>
      <w:r w:rsidRPr="00D12F91">
        <w:t>‘Faiva Ora’ is the name of the Nati</w:t>
      </w:r>
      <w:r>
        <w:t xml:space="preserve">onal Pasifika Disability Plan. </w:t>
      </w:r>
      <w:r w:rsidRPr="00D12F91">
        <w:t xml:space="preserve">Faiva Ora translates to ‘the work for life’. It embodies the Pasifika spirit of working together to support Pacific disabled peoples and their families to live inclusive and fulfilling lives and to participate in their communities. </w:t>
      </w:r>
      <w:r>
        <w:rPr>
          <w:lang w:val="en-NZ"/>
        </w:rPr>
        <w:t xml:space="preserve">See </w:t>
      </w:r>
      <w:hyperlink r:id="rId117" w:history="1">
        <w:r w:rsidRPr="00761578">
          <w:rPr>
            <w:rStyle w:val="Hyperlink"/>
            <w:lang w:val="en-NZ"/>
          </w:rPr>
          <w:t>www.health.govt.nz/our-work/disability-services/pasifika-disability-support-services/faiva-ora-leadership-group</w:t>
        </w:r>
      </w:hyperlink>
      <w:r>
        <w:rPr>
          <w:lang w:val="en-NZ"/>
        </w:rPr>
        <w:t xml:space="preserve"> </w:t>
      </w:r>
    </w:p>
  </w:footnote>
  <w:footnote w:id="202">
    <w:p w:rsidR="003A486D" w:rsidRPr="00E75016" w:rsidRDefault="003A486D" w:rsidP="005C6961">
      <w:pPr>
        <w:pStyle w:val="FootnoteText"/>
        <w:rPr>
          <w:lang w:val="en-NZ"/>
        </w:rPr>
      </w:pPr>
      <w:r>
        <w:rPr>
          <w:rStyle w:val="FootnoteReference"/>
        </w:rPr>
        <w:footnoteRef/>
      </w:r>
      <w:r>
        <w:t xml:space="preserve"> See </w:t>
      </w:r>
      <w:hyperlink r:id="rId118" w:history="1">
        <w:r w:rsidRPr="00771712">
          <w:rPr>
            <w:rStyle w:val="Hyperlink"/>
          </w:rPr>
          <w:t>www.health.govt.nz/our-work/disability-services/pasifika-disability-support-services/faiva-ora-leadership-group</w:t>
        </w:r>
      </w:hyperlink>
      <w:r>
        <w:t xml:space="preserve"> </w:t>
      </w:r>
    </w:p>
  </w:footnote>
  <w:footnote w:id="203">
    <w:p w:rsidR="003A486D" w:rsidRPr="00C46F0F" w:rsidRDefault="003A486D" w:rsidP="005C6961">
      <w:pPr>
        <w:pStyle w:val="FootnoteText"/>
        <w:rPr>
          <w:lang w:val="en-US"/>
        </w:rPr>
      </w:pPr>
      <w:r>
        <w:rPr>
          <w:rStyle w:val="FootnoteReference"/>
        </w:rPr>
        <w:footnoteRef/>
      </w:r>
      <w:r>
        <w:t xml:space="preserve"> See </w:t>
      </w:r>
      <w:hyperlink r:id="rId119" w:history="1">
        <w:r w:rsidRPr="00F10D1F">
          <w:rPr>
            <w:rStyle w:val="Hyperlink"/>
          </w:rPr>
          <w:t>www.health.govt.nz/publication/new-zealand-framework-dementia-care</w:t>
        </w:r>
      </w:hyperlink>
      <w:r>
        <w:t xml:space="preserve">  </w:t>
      </w:r>
    </w:p>
  </w:footnote>
  <w:footnote w:id="204">
    <w:p w:rsidR="003A486D" w:rsidRPr="00C46F0F" w:rsidRDefault="003A486D" w:rsidP="005C6961">
      <w:pPr>
        <w:pStyle w:val="FootnoteText"/>
        <w:rPr>
          <w:lang w:val="en-US"/>
        </w:rPr>
      </w:pPr>
      <w:r>
        <w:rPr>
          <w:rStyle w:val="FootnoteReference"/>
        </w:rPr>
        <w:footnoteRef/>
      </w:r>
      <w:r>
        <w:t xml:space="preserve"> Launched in 2016. See </w:t>
      </w:r>
      <w:hyperlink r:id="rId120" w:history="1">
        <w:r w:rsidRPr="00F10D1F">
          <w:rPr>
            <w:rStyle w:val="Hyperlink"/>
          </w:rPr>
          <w:t>www.health.govt.nz/publication/healthy-ageing-strategy</w:t>
        </w:r>
      </w:hyperlink>
      <w:r>
        <w:t xml:space="preserve"> </w:t>
      </w:r>
    </w:p>
  </w:footnote>
  <w:footnote w:id="205">
    <w:p w:rsidR="003A486D" w:rsidRPr="00C46F0F" w:rsidRDefault="003A486D" w:rsidP="005C6961">
      <w:pPr>
        <w:pStyle w:val="FootnoteText"/>
        <w:rPr>
          <w:lang w:val="en-US"/>
        </w:rPr>
      </w:pPr>
      <w:r>
        <w:rPr>
          <w:rStyle w:val="FootnoteReference"/>
        </w:rPr>
        <w:footnoteRef/>
      </w:r>
      <w:r>
        <w:t xml:space="preserve"> Services include specialised assessment, </w:t>
      </w:r>
      <w:r w:rsidRPr="0009011B">
        <w:t>treatment and rehabilitation services, child development services, equipment and modifications, residential and non-residential community rehabilitation services, rehabilitation services for intellectually disabled offenders under the Intellectual Disability Act and low vision rehabilitation service</w:t>
      </w:r>
      <w:r>
        <w:t>.</w:t>
      </w:r>
    </w:p>
  </w:footnote>
  <w:footnote w:id="206">
    <w:p w:rsidR="003A486D" w:rsidRPr="008E038E" w:rsidRDefault="003A486D" w:rsidP="005C6961">
      <w:pPr>
        <w:pStyle w:val="FootnoteText"/>
        <w:rPr>
          <w:lang w:val="en-NZ"/>
        </w:rPr>
      </w:pPr>
      <w:r>
        <w:rPr>
          <w:rStyle w:val="FootnoteReference"/>
        </w:rPr>
        <w:footnoteRef/>
      </w:r>
      <w:r>
        <w:t xml:space="preserve"> </w:t>
      </w:r>
      <w:r>
        <w:rPr>
          <w:lang w:val="en-NZ"/>
        </w:rPr>
        <w:t xml:space="preserve">“Te tiriti o Waitangi” is Te Reo for “the Treaty of Waitangi”. See </w:t>
      </w:r>
      <w:hyperlink r:id="rId121" w:history="1">
        <w:r w:rsidRPr="001665AE">
          <w:rPr>
            <w:rStyle w:val="Hyperlink"/>
            <w:lang w:val="en-NZ"/>
          </w:rPr>
          <w:t>http://archives.govt.nz/provenance-of-power/te-tiriti-o-waitangi/view-te-tiriti-o-waitangi-online</w:t>
        </w:r>
      </w:hyperlink>
      <w:r>
        <w:rPr>
          <w:lang w:val="en-NZ"/>
        </w:rPr>
        <w:t xml:space="preserve"> </w:t>
      </w:r>
    </w:p>
  </w:footnote>
  <w:footnote w:id="207">
    <w:p w:rsidR="003A486D" w:rsidRPr="00DE3CF6" w:rsidRDefault="003A486D" w:rsidP="005C6961">
      <w:pPr>
        <w:pStyle w:val="FootnoteText"/>
        <w:rPr>
          <w:lang w:val="en-NZ"/>
        </w:rPr>
      </w:pPr>
      <w:r>
        <w:rPr>
          <w:rStyle w:val="FootnoteReference"/>
        </w:rPr>
        <w:footnoteRef/>
      </w:r>
      <w:r>
        <w:t xml:space="preserve"> </w:t>
      </w:r>
      <w:r>
        <w:rPr>
          <w:lang w:val="en-NZ"/>
        </w:rPr>
        <w:t xml:space="preserve">See </w:t>
      </w:r>
      <w:hyperlink r:id="rId122" w:history="1">
        <w:r w:rsidRPr="00531D3B">
          <w:rPr>
            <w:rStyle w:val="Hyperlink"/>
            <w:lang w:val="en-NZ"/>
          </w:rPr>
          <w:t>https://www.hdc.org.nz/your-rights/about-the-code/code-of-health-and-disability-services-consumers-rights/</w:t>
        </w:r>
      </w:hyperlink>
      <w:r>
        <w:rPr>
          <w:lang w:val="en-NZ"/>
        </w:rPr>
        <w:t xml:space="preserve"> </w:t>
      </w:r>
    </w:p>
  </w:footnote>
  <w:footnote w:id="208">
    <w:p w:rsidR="003A486D" w:rsidRPr="00DE3CF6" w:rsidRDefault="003A486D" w:rsidP="005C6961">
      <w:pPr>
        <w:pStyle w:val="FootnoteText"/>
        <w:rPr>
          <w:lang w:val="en-NZ"/>
        </w:rPr>
      </w:pPr>
      <w:r>
        <w:rPr>
          <w:rStyle w:val="FootnoteReference"/>
        </w:rPr>
        <w:footnoteRef/>
      </w:r>
      <w:r>
        <w:t xml:space="preserve"> </w:t>
      </w:r>
      <w:r>
        <w:rPr>
          <w:lang w:val="en-NZ"/>
        </w:rPr>
        <w:t xml:space="preserve">The </w:t>
      </w:r>
      <w:r w:rsidRPr="009D6732">
        <w:rPr>
          <w:lang w:val="en-NZ"/>
        </w:rPr>
        <w:t>NZ</w:t>
      </w:r>
      <w:r>
        <w:rPr>
          <w:lang w:val="en-NZ"/>
        </w:rPr>
        <w:t xml:space="preserve"> </w:t>
      </w:r>
      <w:r w:rsidRPr="009D6732">
        <w:rPr>
          <w:lang w:val="en-NZ"/>
        </w:rPr>
        <w:t>D</w:t>
      </w:r>
      <w:r>
        <w:rPr>
          <w:lang w:val="en-NZ"/>
        </w:rPr>
        <w:t xml:space="preserve">isability </w:t>
      </w:r>
      <w:r w:rsidRPr="009D6732">
        <w:rPr>
          <w:lang w:val="en-NZ"/>
        </w:rPr>
        <w:t>S</w:t>
      </w:r>
      <w:r>
        <w:rPr>
          <w:lang w:val="en-NZ"/>
        </w:rPr>
        <w:t xml:space="preserve">upport </w:t>
      </w:r>
      <w:r w:rsidRPr="009D6732">
        <w:rPr>
          <w:lang w:val="en-NZ"/>
        </w:rPr>
        <w:t>N</w:t>
      </w:r>
      <w:r>
        <w:rPr>
          <w:lang w:val="en-NZ"/>
        </w:rPr>
        <w:t>etwork</w:t>
      </w:r>
      <w:r w:rsidRPr="009D6732">
        <w:rPr>
          <w:lang w:val="en-NZ"/>
        </w:rPr>
        <w:t xml:space="preserve"> is a network of not-for-profit organisations and some for-profit NGOs that provide support services to disabled people, mainly through contracts with government.</w:t>
      </w:r>
      <w:r>
        <w:rPr>
          <w:lang w:val="en-NZ"/>
        </w:rPr>
        <w:t xml:space="preserve"> See </w:t>
      </w:r>
      <w:hyperlink r:id="rId123" w:history="1">
        <w:r w:rsidRPr="00531D3B">
          <w:rPr>
            <w:rStyle w:val="Hyperlink"/>
            <w:lang w:val="en-NZ"/>
          </w:rPr>
          <w:t>www.nzdsn.org.nz/</w:t>
        </w:r>
      </w:hyperlink>
      <w:r>
        <w:rPr>
          <w:lang w:val="en-NZ"/>
        </w:rPr>
        <w:t xml:space="preserve"> </w:t>
      </w:r>
    </w:p>
  </w:footnote>
  <w:footnote w:id="209">
    <w:p w:rsidR="003A486D" w:rsidRPr="00DE3CF6" w:rsidRDefault="003A486D" w:rsidP="005C6961">
      <w:pPr>
        <w:pStyle w:val="FootnoteText"/>
        <w:rPr>
          <w:lang w:val="en-NZ"/>
        </w:rPr>
      </w:pPr>
      <w:r>
        <w:rPr>
          <w:rStyle w:val="FootnoteReference"/>
        </w:rPr>
        <w:footnoteRef/>
      </w:r>
      <w:r>
        <w:t xml:space="preserve"> </w:t>
      </w:r>
      <w:r>
        <w:rPr>
          <w:lang w:val="en-NZ"/>
        </w:rPr>
        <w:t xml:space="preserve">See </w:t>
      </w:r>
      <w:hyperlink r:id="rId124" w:history="1">
        <w:r w:rsidRPr="00531D3B">
          <w:rPr>
            <w:rStyle w:val="Hyperlink"/>
            <w:lang w:val="en-NZ"/>
          </w:rPr>
          <w:t>www.nzdsn.org.nz/employment-support-practice-guidelines-how-to-support-disabled-people-to-get-the-job-they-want/</w:t>
        </w:r>
      </w:hyperlink>
      <w:r>
        <w:rPr>
          <w:lang w:val="en-NZ"/>
        </w:rPr>
        <w:t xml:space="preserve"> </w:t>
      </w:r>
    </w:p>
  </w:footnote>
  <w:footnote w:id="210">
    <w:p w:rsidR="003A486D" w:rsidRPr="00DB21B5" w:rsidRDefault="003A486D" w:rsidP="005C6961">
      <w:pPr>
        <w:pStyle w:val="FootnoteText"/>
        <w:rPr>
          <w:lang w:val="en-NZ"/>
        </w:rPr>
      </w:pPr>
      <w:r>
        <w:rPr>
          <w:rStyle w:val="FootnoteReference"/>
        </w:rPr>
        <w:footnoteRef/>
      </w:r>
      <w:r>
        <w:t xml:space="preserve"> </w:t>
      </w:r>
      <w:r>
        <w:rPr>
          <w:lang w:val="en-NZ"/>
        </w:rPr>
        <w:t xml:space="preserve">See </w:t>
      </w:r>
      <w:hyperlink r:id="rId125" w:history="1">
        <w:r w:rsidRPr="00A61565">
          <w:rPr>
            <w:rStyle w:val="Hyperlink"/>
            <w:lang w:val="en-NZ"/>
          </w:rPr>
          <w:t>https://www.msd.govt.nz/about-msd-and-our-work/work-programmes/initiatives/disabilityconfidentnz/lead-toolkit/index.html</w:t>
        </w:r>
      </w:hyperlink>
      <w:r>
        <w:rPr>
          <w:lang w:val="en-NZ"/>
        </w:rPr>
        <w:t xml:space="preserve"> </w:t>
      </w:r>
    </w:p>
  </w:footnote>
  <w:footnote w:id="211">
    <w:p w:rsidR="003A486D" w:rsidRPr="005F35B8" w:rsidRDefault="003A486D" w:rsidP="005C6961">
      <w:pPr>
        <w:pStyle w:val="FootnoteText"/>
        <w:rPr>
          <w:lang w:val="en-NZ"/>
        </w:rPr>
      </w:pPr>
      <w:r>
        <w:rPr>
          <w:rStyle w:val="FootnoteReference"/>
        </w:rPr>
        <w:footnoteRef/>
      </w:r>
      <w:r>
        <w:t xml:space="preserve"> </w:t>
      </w:r>
      <w:r w:rsidRPr="005F35B8">
        <w:t>“</w:t>
      </w:r>
      <w:r>
        <w:t>O</w:t>
      </w:r>
      <w:r w:rsidRPr="005F35B8">
        <w:t xml:space="preserve">ranga mahi” </w:t>
      </w:r>
      <w:r>
        <w:t xml:space="preserve">is Te Reo </w:t>
      </w:r>
      <w:r w:rsidRPr="005F35B8">
        <w:t>mean</w:t>
      </w:r>
      <w:r>
        <w:t>ing</w:t>
      </w:r>
      <w:r w:rsidRPr="005F35B8">
        <w:t xml:space="preserve"> wellness through work</w:t>
      </w:r>
      <w:r>
        <w:t>.</w:t>
      </w:r>
    </w:p>
  </w:footnote>
  <w:footnote w:id="212">
    <w:p w:rsidR="003A486D" w:rsidRPr="00E92965" w:rsidRDefault="003A486D" w:rsidP="005C6961">
      <w:pPr>
        <w:pStyle w:val="FootnoteText"/>
        <w:rPr>
          <w:lang w:val="en-NZ"/>
        </w:rPr>
      </w:pPr>
      <w:r>
        <w:rPr>
          <w:rStyle w:val="FootnoteReference"/>
        </w:rPr>
        <w:footnoteRef/>
      </w:r>
      <w:r>
        <w:t xml:space="preserve"> </w:t>
      </w:r>
      <w:r>
        <w:rPr>
          <w:lang w:val="en-NZ"/>
        </w:rPr>
        <w:t xml:space="preserve">See </w:t>
      </w:r>
      <w:hyperlink r:id="rId126" w:history="1">
        <w:r w:rsidRPr="00DE7658">
          <w:rPr>
            <w:rStyle w:val="Hyperlink"/>
            <w:lang w:val="en-NZ"/>
          </w:rPr>
          <w:t>www.msd.govt.nz/about-msd-and-our-work/publications-resources/corporate/annual-report/2016-2017/reducing-the-welfare-liability.html</w:t>
        </w:r>
      </w:hyperlink>
      <w:r>
        <w:rPr>
          <w:lang w:val="en-NZ"/>
        </w:rPr>
        <w:t xml:space="preserve"> </w:t>
      </w:r>
    </w:p>
  </w:footnote>
  <w:footnote w:id="213">
    <w:p w:rsidR="003A486D" w:rsidRPr="004F4C51" w:rsidRDefault="003A486D" w:rsidP="005C6961">
      <w:pPr>
        <w:pStyle w:val="FootnoteText"/>
        <w:rPr>
          <w:lang w:val="en-NZ"/>
        </w:rPr>
      </w:pPr>
      <w:r>
        <w:rPr>
          <w:rStyle w:val="FootnoteReference"/>
        </w:rPr>
        <w:footnoteRef/>
      </w:r>
      <w:r>
        <w:t xml:space="preserve"> Waitemata is an area in North and West Auckland region.</w:t>
      </w:r>
    </w:p>
  </w:footnote>
  <w:footnote w:id="214">
    <w:p w:rsidR="003A486D" w:rsidRPr="006A1FF5" w:rsidRDefault="003A486D" w:rsidP="005C6961">
      <w:pPr>
        <w:pStyle w:val="FootnoteText"/>
        <w:rPr>
          <w:lang w:val="en-NZ"/>
        </w:rPr>
      </w:pPr>
      <w:r>
        <w:rPr>
          <w:rStyle w:val="FootnoteReference"/>
        </w:rPr>
        <w:footnoteRef/>
      </w:r>
      <w:r>
        <w:t xml:space="preserve"> </w:t>
      </w:r>
      <w:r w:rsidRPr="006A1FF5">
        <w:t>Under the Disable</w:t>
      </w:r>
      <w:r>
        <w:t>d Persons Employment Promotion</w:t>
      </w:r>
      <w:r w:rsidRPr="006A1FF5">
        <w:t xml:space="preserve"> Act 1960, operators of sheltered workshops were exempted from applying the same employment conditions required elsewhere.</w:t>
      </w:r>
    </w:p>
  </w:footnote>
  <w:footnote w:id="215">
    <w:p w:rsidR="003A486D" w:rsidRPr="00865CFF" w:rsidRDefault="003A486D" w:rsidP="005C6961">
      <w:pPr>
        <w:pStyle w:val="FootnoteText"/>
        <w:rPr>
          <w:lang w:val="en-US"/>
        </w:rPr>
      </w:pPr>
      <w:r>
        <w:rPr>
          <w:rStyle w:val="FootnoteReference"/>
        </w:rPr>
        <w:footnoteRef/>
      </w:r>
      <w:r>
        <w:t xml:space="preserve"> See </w:t>
      </w:r>
      <w:hyperlink r:id="rId127" w:history="1">
        <w:r w:rsidRPr="00F10D1F">
          <w:rPr>
            <w:rStyle w:val="Hyperlink"/>
          </w:rPr>
          <w:t>www.employment.govt.nz/hours-and-wages/pay/minimum-wage/minimum-wage-exemptions/</w:t>
        </w:r>
      </w:hyperlink>
      <w:r>
        <w:t xml:space="preserve"> </w:t>
      </w:r>
    </w:p>
  </w:footnote>
  <w:footnote w:id="216">
    <w:p w:rsidR="003A486D" w:rsidRPr="0098402F" w:rsidRDefault="003A486D" w:rsidP="005C6961">
      <w:pPr>
        <w:pStyle w:val="FootnoteText"/>
        <w:rPr>
          <w:lang w:val="en-NZ"/>
        </w:rPr>
      </w:pPr>
      <w:r>
        <w:rPr>
          <w:rStyle w:val="FootnoteReference"/>
        </w:rPr>
        <w:footnoteRef/>
      </w:r>
      <w:r>
        <w:t xml:space="preserve"> </w:t>
      </w:r>
      <w:r w:rsidRPr="008E038E">
        <w:t>Action 2b</w:t>
      </w:r>
      <w:r>
        <w:t xml:space="preserve"> refers</w:t>
      </w:r>
      <w:r w:rsidRPr="008E038E">
        <w:t>, Disability Action Plan 2014-2018</w:t>
      </w:r>
      <w:r>
        <w:t xml:space="preserve">. </w:t>
      </w:r>
      <w:r>
        <w:rPr>
          <w:lang w:val="en-NZ"/>
        </w:rPr>
        <w:t xml:space="preserve">See </w:t>
      </w:r>
      <w:hyperlink r:id="rId128" w:history="1">
        <w:r w:rsidRPr="00DE7658">
          <w:rPr>
            <w:rStyle w:val="Hyperlink"/>
            <w:lang w:val="en-NZ"/>
          </w:rPr>
          <w:t>www.odi.govt.nz/nz-disability-strategy/employment-and-economic-security/</w:t>
        </w:r>
      </w:hyperlink>
      <w:r>
        <w:rPr>
          <w:lang w:val="en-NZ"/>
        </w:rPr>
        <w:t xml:space="preserve"> </w:t>
      </w:r>
    </w:p>
  </w:footnote>
  <w:footnote w:id="217">
    <w:p w:rsidR="003A486D" w:rsidRPr="00DE3CF6" w:rsidRDefault="003A486D" w:rsidP="005C6961">
      <w:pPr>
        <w:pStyle w:val="FootnoteText"/>
        <w:rPr>
          <w:lang w:val="en-NZ"/>
        </w:rPr>
      </w:pPr>
      <w:r>
        <w:rPr>
          <w:rStyle w:val="FootnoteReference"/>
        </w:rPr>
        <w:footnoteRef/>
      </w:r>
      <w:r>
        <w:t xml:space="preserve"> </w:t>
      </w:r>
      <w:r>
        <w:rPr>
          <w:lang w:val="en-NZ"/>
        </w:rPr>
        <w:t xml:space="preserve">See </w:t>
      </w:r>
      <w:hyperlink r:id="rId129" w:history="1">
        <w:r w:rsidRPr="00DE7658">
          <w:rPr>
            <w:rStyle w:val="Hyperlink"/>
            <w:lang w:val="en-NZ"/>
          </w:rPr>
          <w:t>www.stats.govt.nz/information-releases/household-labour-force-survey-estimated-working-age-population-december-2018-quarter</w:t>
        </w:r>
      </w:hyperlink>
      <w:r>
        <w:rPr>
          <w:lang w:val="en-NZ"/>
        </w:rPr>
        <w:t xml:space="preserve"> </w:t>
      </w:r>
    </w:p>
  </w:footnote>
  <w:footnote w:id="218">
    <w:p w:rsidR="003A486D" w:rsidRPr="008A0130" w:rsidRDefault="003A486D" w:rsidP="005C6961">
      <w:pPr>
        <w:pStyle w:val="FootnoteText"/>
        <w:rPr>
          <w:lang w:val="en-NZ"/>
        </w:rPr>
      </w:pPr>
      <w:r>
        <w:rPr>
          <w:rStyle w:val="FootnoteReference"/>
        </w:rPr>
        <w:footnoteRef/>
      </w:r>
      <w:r>
        <w:t xml:space="preserve"> </w:t>
      </w:r>
      <w:r>
        <w:rPr>
          <w:lang w:val="en-NZ"/>
        </w:rPr>
        <w:t xml:space="preserve">The WGSS of questions on disability were included from June 2017 onwards. </w:t>
      </w:r>
    </w:p>
  </w:footnote>
  <w:footnote w:id="219">
    <w:p w:rsidR="003A486D" w:rsidRPr="00EF1E26" w:rsidRDefault="003A486D" w:rsidP="005C6961">
      <w:pPr>
        <w:pStyle w:val="FootnoteText"/>
        <w:rPr>
          <w:lang w:val="en-NZ"/>
        </w:rPr>
      </w:pPr>
      <w:r>
        <w:rPr>
          <w:rStyle w:val="FootnoteReference"/>
        </w:rPr>
        <w:footnoteRef/>
      </w:r>
      <w:r>
        <w:t xml:space="preserve"> </w:t>
      </w:r>
      <w:r>
        <w:rPr>
          <w:lang w:val="en-NZ"/>
        </w:rPr>
        <w:t>The sampling error associated with this estimate is 2.2 percentage points</w:t>
      </w:r>
    </w:p>
  </w:footnote>
  <w:footnote w:id="220">
    <w:p w:rsidR="003A486D" w:rsidRPr="001D394D" w:rsidRDefault="003A486D" w:rsidP="005C6961">
      <w:pPr>
        <w:pStyle w:val="FootnoteText"/>
        <w:rPr>
          <w:lang w:val="en-NZ"/>
        </w:rPr>
      </w:pPr>
      <w:r>
        <w:rPr>
          <w:rStyle w:val="FootnoteReference"/>
        </w:rPr>
        <w:footnoteRef/>
      </w:r>
      <w:r>
        <w:t xml:space="preserve"> The sampling error associated with this estimate is 0.6 percentage points.  </w:t>
      </w:r>
    </w:p>
  </w:footnote>
  <w:footnote w:id="221">
    <w:p w:rsidR="003A486D" w:rsidRPr="00D84784" w:rsidRDefault="003A486D" w:rsidP="005C6961">
      <w:pPr>
        <w:pStyle w:val="FootnoteText"/>
        <w:rPr>
          <w:lang w:val="en-NZ"/>
        </w:rPr>
      </w:pPr>
      <w:r>
        <w:rPr>
          <w:rStyle w:val="FootnoteReference"/>
        </w:rPr>
        <w:footnoteRef/>
      </w:r>
      <w:r>
        <w:t xml:space="preserve"> </w:t>
      </w:r>
      <w:r w:rsidRPr="001A34FA">
        <w:t xml:space="preserve">The sampling error associated with this estimate is </w:t>
      </w:r>
      <w:r>
        <w:t>2.2 percent</w:t>
      </w:r>
      <w:r w:rsidRPr="001A34FA">
        <w:t>age points.</w:t>
      </w:r>
    </w:p>
  </w:footnote>
  <w:footnote w:id="222">
    <w:p w:rsidR="003A486D" w:rsidRPr="00F219A7" w:rsidRDefault="003A486D" w:rsidP="005C6961">
      <w:pPr>
        <w:pStyle w:val="FootnoteText"/>
        <w:rPr>
          <w:lang w:val="en-NZ"/>
        </w:rPr>
      </w:pPr>
      <w:r>
        <w:rPr>
          <w:rStyle w:val="FootnoteReference"/>
        </w:rPr>
        <w:footnoteRef/>
      </w:r>
      <w:r>
        <w:t xml:space="preserve"> </w:t>
      </w:r>
      <w:r w:rsidRPr="001A34FA">
        <w:t>The sampling error associated with this estimate is 0.6 percentage points.</w:t>
      </w:r>
    </w:p>
  </w:footnote>
  <w:footnote w:id="223">
    <w:p w:rsidR="003A486D" w:rsidRPr="00FB28B1" w:rsidRDefault="003A486D" w:rsidP="005C6961">
      <w:pPr>
        <w:pStyle w:val="FootnoteText"/>
        <w:rPr>
          <w:lang w:val="en-NZ"/>
        </w:rPr>
      </w:pPr>
      <w:r>
        <w:rPr>
          <w:rStyle w:val="FootnoteReference"/>
        </w:rPr>
        <w:footnoteRef/>
      </w:r>
      <w:r>
        <w:t xml:space="preserve"> </w:t>
      </w:r>
      <w:r w:rsidRPr="001A34FA">
        <w:t xml:space="preserve">The sampling error associated with this estimate is </w:t>
      </w:r>
      <w:r>
        <w:t>4.1</w:t>
      </w:r>
      <w:r w:rsidRPr="001A34FA">
        <w:t xml:space="preserve"> percentage points.</w:t>
      </w:r>
    </w:p>
  </w:footnote>
  <w:footnote w:id="224">
    <w:p w:rsidR="003A486D" w:rsidRPr="008E1E94" w:rsidRDefault="003A486D" w:rsidP="005C6961">
      <w:pPr>
        <w:pStyle w:val="FootnoteText"/>
        <w:rPr>
          <w:lang w:val="en-NZ"/>
        </w:rPr>
      </w:pPr>
      <w:r>
        <w:rPr>
          <w:rStyle w:val="FootnoteReference"/>
        </w:rPr>
        <w:footnoteRef/>
      </w:r>
      <w:r>
        <w:t xml:space="preserve"> </w:t>
      </w:r>
      <w:r w:rsidRPr="001A34FA">
        <w:t xml:space="preserve">The sampling error associated with this estimate is </w:t>
      </w:r>
      <w:r>
        <w:t>0.3</w:t>
      </w:r>
      <w:r w:rsidRPr="001A34FA">
        <w:t xml:space="preserve"> percentage points.</w:t>
      </w:r>
    </w:p>
  </w:footnote>
  <w:footnote w:id="225">
    <w:p w:rsidR="003A486D" w:rsidRDefault="003A486D" w:rsidP="005C6961">
      <w:pPr>
        <w:pStyle w:val="FootnoteText"/>
      </w:pPr>
      <w:r>
        <w:rPr>
          <w:rStyle w:val="FootnoteReference"/>
        </w:rPr>
        <w:footnoteRef/>
      </w:r>
      <w:r>
        <w:t xml:space="preserve"> From 1 October 2017 to 31 December 2017, the median time to house was:</w:t>
      </w:r>
    </w:p>
    <w:p w:rsidR="003A486D" w:rsidRDefault="003A486D" w:rsidP="005C6961">
      <w:pPr>
        <w:pStyle w:val="FootnoteText"/>
      </w:pPr>
      <w:r>
        <w:t>•</w:t>
      </w:r>
      <w:r>
        <w:tab/>
        <w:t xml:space="preserve">200 days for applicants requiring a modified property  </w:t>
      </w:r>
    </w:p>
    <w:p w:rsidR="003A486D" w:rsidRPr="00B94617" w:rsidRDefault="003A486D" w:rsidP="005C6961">
      <w:pPr>
        <w:pStyle w:val="FootnoteText"/>
        <w:rPr>
          <w:lang w:val="en-NZ"/>
        </w:rPr>
      </w:pPr>
      <w:r>
        <w:t>•</w:t>
      </w:r>
      <w:r>
        <w:tab/>
        <w:t>58 days for applicants not requiring a modified property.</w:t>
      </w:r>
    </w:p>
  </w:footnote>
  <w:footnote w:id="226">
    <w:p w:rsidR="003A486D" w:rsidRPr="00B8655A" w:rsidRDefault="003A486D" w:rsidP="005C6961">
      <w:pPr>
        <w:pStyle w:val="FootnoteText"/>
        <w:rPr>
          <w:lang w:val="en-NZ"/>
        </w:rPr>
      </w:pPr>
      <w:r>
        <w:rPr>
          <w:rStyle w:val="FootnoteReference"/>
        </w:rPr>
        <w:footnoteRef/>
      </w:r>
      <w:r>
        <w:t xml:space="preserve"> </w:t>
      </w:r>
      <w:r w:rsidRPr="00B8655A">
        <w:t>Out of 65,188 tenancies</w:t>
      </w:r>
    </w:p>
  </w:footnote>
  <w:footnote w:id="227">
    <w:p w:rsidR="003A486D" w:rsidRPr="008208E6" w:rsidRDefault="003A486D" w:rsidP="005C6961">
      <w:pPr>
        <w:pStyle w:val="FootnoteText"/>
        <w:rPr>
          <w:lang w:val="en-NZ"/>
        </w:rPr>
      </w:pPr>
      <w:r>
        <w:rPr>
          <w:rStyle w:val="FootnoteReference"/>
        </w:rPr>
        <w:footnoteRef/>
      </w:r>
      <w:r>
        <w:t xml:space="preserve"> The Ministry of Health spent $10m in the 2017/18 financial year on housing modifications. </w:t>
      </w:r>
    </w:p>
  </w:footnote>
  <w:footnote w:id="228">
    <w:p w:rsidR="003A486D" w:rsidRPr="003369B0" w:rsidRDefault="003A486D" w:rsidP="005C6961">
      <w:pPr>
        <w:pStyle w:val="FootnoteText"/>
        <w:rPr>
          <w:lang w:val="en-US"/>
        </w:rPr>
      </w:pPr>
      <w:r w:rsidRPr="00093BA8">
        <w:rPr>
          <w:rStyle w:val="FootnoteReference"/>
          <w:rFonts w:ascii="Verdana" w:hAnsi="Verdana"/>
          <w:sz w:val="16"/>
          <w:szCs w:val="16"/>
        </w:rPr>
        <w:footnoteRef/>
      </w:r>
      <w:r w:rsidRPr="00E9428C">
        <w:t xml:space="preserve"> These data relate to grants made by the Ministry of Health as part of Equipment and Modification Services between 2013 and 2017.</w:t>
      </w:r>
      <w:r>
        <w:t xml:space="preserve"> </w:t>
      </w:r>
    </w:p>
  </w:footnote>
  <w:footnote w:id="229">
    <w:p w:rsidR="003A486D" w:rsidRPr="0048577E" w:rsidRDefault="003A486D" w:rsidP="005C6961">
      <w:pPr>
        <w:pStyle w:val="FootnoteText"/>
        <w:rPr>
          <w:lang w:val="en-NZ"/>
        </w:rPr>
      </w:pPr>
      <w:r>
        <w:rPr>
          <w:rStyle w:val="FootnoteReference"/>
        </w:rPr>
        <w:footnoteRef/>
      </w:r>
      <w:r>
        <w:t xml:space="preserve"> </w:t>
      </w:r>
      <w:r>
        <w:rPr>
          <w:lang w:val="en-NZ"/>
        </w:rPr>
        <w:t>This data was provided from May 2018.</w:t>
      </w:r>
    </w:p>
  </w:footnote>
  <w:footnote w:id="230">
    <w:p w:rsidR="003A486D" w:rsidRPr="00CF74BE" w:rsidRDefault="003A486D" w:rsidP="005C6961">
      <w:pPr>
        <w:pStyle w:val="FootnoteText"/>
        <w:rPr>
          <w:lang w:val="en-NZ"/>
        </w:rPr>
      </w:pPr>
      <w:r>
        <w:rPr>
          <w:rStyle w:val="FootnoteReference"/>
        </w:rPr>
        <w:footnoteRef/>
      </w:r>
      <w:r>
        <w:t xml:space="preserve"> </w:t>
      </w:r>
      <w:r>
        <w:rPr>
          <w:lang w:val="en-NZ"/>
        </w:rPr>
        <w:t>As at 31 December 2018</w:t>
      </w:r>
      <w:r w:rsidRPr="008208E6">
        <w:t xml:space="preserve"> </w:t>
      </w:r>
    </w:p>
  </w:footnote>
  <w:footnote w:id="231">
    <w:p w:rsidR="003A486D" w:rsidRPr="008208E6" w:rsidRDefault="003A486D" w:rsidP="005C6961">
      <w:pPr>
        <w:pStyle w:val="FootnoteText"/>
        <w:rPr>
          <w:lang w:val="en-NZ"/>
        </w:rPr>
      </w:pPr>
      <w:r>
        <w:rPr>
          <w:rStyle w:val="FootnoteReference"/>
        </w:rPr>
        <w:footnoteRef/>
      </w:r>
      <w:r>
        <w:t xml:space="preserve"> The Accident Compensation Corporation funded</w:t>
      </w:r>
      <w:r w:rsidRPr="00355C7B">
        <w:t xml:space="preserve"> a total of $26.5m </w:t>
      </w:r>
      <w:r>
        <w:t>of</w:t>
      </w:r>
      <w:r w:rsidRPr="00355C7B">
        <w:t xml:space="preserve"> housing modifications</w:t>
      </w:r>
      <w:r>
        <w:t xml:space="preserve"> in the 2017/18 financial year.</w:t>
      </w:r>
    </w:p>
  </w:footnote>
  <w:footnote w:id="232">
    <w:p w:rsidR="003A486D" w:rsidRPr="00F17417" w:rsidRDefault="003A486D" w:rsidP="005C6961">
      <w:pPr>
        <w:pStyle w:val="FootnoteText"/>
        <w:rPr>
          <w:lang w:val="en-NZ"/>
        </w:rPr>
      </w:pPr>
      <w:r>
        <w:rPr>
          <w:rStyle w:val="FootnoteReference"/>
        </w:rPr>
        <w:footnoteRef/>
      </w:r>
      <w:r>
        <w:t xml:space="preserve"> </w:t>
      </w:r>
      <w:r>
        <w:rPr>
          <w:lang w:val="en-NZ"/>
        </w:rPr>
        <w:t xml:space="preserve">See </w:t>
      </w:r>
      <w:hyperlink r:id="rId130" w:history="1">
        <w:r w:rsidRPr="00EF1D2C">
          <w:rPr>
            <w:rStyle w:val="Hyperlink"/>
            <w:lang w:val="en-NZ"/>
          </w:rPr>
          <w:t>www.legislation.govt.nz/act/public/2018/0057/18.0/LMS8294.html</w:t>
        </w:r>
      </w:hyperlink>
      <w:r>
        <w:rPr>
          <w:lang w:val="en-NZ"/>
        </w:rPr>
        <w:t xml:space="preserve"> </w:t>
      </w:r>
    </w:p>
  </w:footnote>
  <w:footnote w:id="233">
    <w:p w:rsidR="003A486D" w:rsidRPr="00F17417" w:rsidRDefault="003A486D" w:rsidP="005C6961">
      <w:pPr>
        <w:pStyle w:val="FootnoteText"/>
        <w:rPr>
          <w:lang w:val="en-NZ"/>
        </w:rPr>
      </w:pPr>
      <w:r>
        <w:rPr>
          <w:rStyle w:val="FootnoteReference"/>
        </w:rPr>
        <w:footnoteRef/>
      </w:r>
      <w:r>
        <w:t xml:space="preserve"> </w:t>
      </w:r>
      <w:r>
        <w:rPr>
          <w:lang w:val="en-NZ"/>
        </w:rPr>
        <w:t xml:space="preserve">See </w:t>
      </w:r>
      <w:hyperlink r:id="rId131" w:history="1">
        <w:r w:rsidRPr="00EF1D2C">
          <w:rPr>
            <w:rStyle w:val="Hyperlink"/>
            <w:lang w:val="en-NZ"/>
          </w:rPr>
          <w:t>www.legislation.govt.nz/act/public/2014/0040/latest/whole.html</w:t>
        </w:r>
      </w:hyperlink>
      <w:r>
        <w:rPr>
          <w:lang w:val="en-NZ"/>
        </w:rPr>
        <w:t xml:space="preserve"> </w:t>
      </w:r>
    </w:p>
  </w:footnote>
  <w:footnote w:id="234">
    <w:p w:rsidR="003A486D" w:rsidRPr="00865CFF" w:rsidRDefault="003A486D" w:rsidP="005C6961">
      <w:pPr>
        <w:pStyle w:val="FootnoteText"/>
        <w:rPr>
          <w:lang w:val="en-US"/>
        </w:rPr>
      </w:pPr>
      <w:r>
        <w:rPr>
          <w:rStyle w:val="FootnoteReference"/>
        </w:rPr>
        <w:footnoteRef/>
      </w:r>
      <w:r>
        <w:t xml:space="preserve"> See </w:t>
      </w:r>
      <w:hyperlink r:id="rId132" w:history="1">
        <w:r w:rsidRPr="00F10D1F">
          <w:rPr>
            <w:rStyle w:val="Hyperlink"/>
          </w:rPr>
          <w:t>www.elections.org.nz/research-statistics/research/voter-and-non-voter-surveys</w:t>
        </w:r>
      </w:hyperlink>
      <w:r>
        <w:t xml:space="preserve"> </w:t>
      </w:r>
    </w:p>
  </w:footnote>
  <w:footnote w:id="235">
    <w:p w:rsidR="003A486D" w:rsidRPr="00470CDC" w:rsidRDefault="003A486D" w:rsidP="005C6961">
      <w:pPr>
        <w:pStyle w:val="FootnoteText"/>
        <w:rPr>
          <w:lang w:val="en-NZ"/>
        </w:rPr>
      </w:pPr>
      <w:r>
        <w:rPr>
          <w:rStyle w:val="FootnoteReference"/>
        </w:rPr>
        <w:footnoteRef/>
      </w:r>
      <w:r>
        <w:t xml:space="preserve"> </w:t>
      </w:r>
      <w:r>
        <w:rPr>
          <w:lang w:val="en-NZ"/>
        </w:rPr>
        <w:t>The service was used by 714 voters in the 2014 General Election and 586 voters in the 2017 General Election.</w:t>
      </w:r>
    </w:p>
  </w:footnote>
  <w:footnote w:id="236">
    <w:p w:rsidR="003A486D" w:rsidRPr="00D73D0B" w:rsidRDefault="003A486D" w:rsidP="005C6961">
      <w:pPr>
        <w:pStyle w:val="FootnoteText"/>
        <w:rPr>
          <w:lang w:val="en-NZ"/>
        </w:rPr>
      </w:pPr>
      <w:r>
        <w:rPr>
          <w:rStyle w:val="FootnoteReference"/>
        </w:rPr>
        <w:footnoteRef/>
      </w:r>
      <w:r>
        <w:t xml:space="preserve"> </w:t>
      </w:r>
      <w:r>
        <w:rPr>
          <w:lang w:val="en-NZ"/>
        </w:rPr>
        <w:t>This was first provided in 2017.</w:t>
      </w:r>
    </w:p>
  </w:footnote>
  <w:footnote w:id="237">
    <w:p w:rsidR="003A486D" w:rsidRPr="00F81901" w:rsidRDefault="003A486D" w:rsidP="005C6961">
      <w:pPr>
        <w:pStyle w:val="FootnoteText"/>
        <w:rPr>
          <w:lang w:val="en-NZ"/>
        </w:rPr>
      </w:pPr>
      <w:r>
        <w:rPr>
          <w:rStyle w:val="FootnoteReference"/>
        </w:rPr>
        <w:footnoteRef/>
      </w:r>
      <w:r>
        <w:t xml:space="preserve"> </w:t>
      </w:r>
      <w:r w:rsidRPr="00F81901">
        <w:tab/>
        <w:t>The Election Access Fund Bill, which is a Member’s Bill, was introduced in February 2018. If passed, the Bill will establish an Election Access Fund to be used by any disabled candidate to cover disability-related costs of standing in a general election, by not-for-profit bodies to cover costs of making election education events and materials accessible, and by registered political parties to support access needs of any members to allow them to participate within the party. The Bill passed its first reading in May 2018 and is currently before Select Committee.</w:t>
      </w:r>
    </w:p>
  </w:footnote>
  <w:footnote w:id="238">
    <w:p w:rsidR="003A486D" w:rsidRPr="00704D29" w:rsidRDefault="003A486D" w:rsidP="005C6961">
      <w:pPr>
        <w:pStyle w:val="FootnoteText"/>
        <w:rPr>
          <w:lang w:val="en-US"/>
        </w:rPr>
      </w:pPr>
      <w:r>
        <w:rPr>
          <w:rStyle w:val="FootnoteReference"/>
        </w:rPr>
        <w:footnoteRef/>
      </w:r>
      <w:r>
        <w:t xml:space="preserve"> </w:t>
      </w:r>
      <w:r w:rsidRPr="00704D29">
        <w:t>The Speaker of Parliament is responsible for the Parliamentary Service and the Office of the Clerk</w:t>
      </w:r>
      <w:r>
        <w:t>.</w:t>
      </w:r>
    </w:p>
  </w:footnote>
  <w:footnote w:id="239">
    <w:p w:rsidR="003A486D" w:rsidRPr="00940EE2" w:rsidRDefault="003A486D" w:rsidP="005C6961">
      <w:pPr>
        <w:pStyle w:val="FootnoteText"/>
        <w:rPr>
          <w:lang w:val="en-NZ"/>
        </w:rPr>
      </w:pPr>
      <w:r>
        <w:rPr>
          <w:rStyle w:val="FootnoteReference"/>
        </w:rPr>
        <w:footnoteRef/>
      </w:r>
      <w:r>
        <w:t xml:space="preserve"> See </w:t>
      </w:r>
      <w:hyperlink r:id="rId133" w:history="1">
        <w:r w:rsidRPr="00531D3B">
          <w:rPr>
            <w:rStyle w:val="Hyperlink"/>
          </w:rPr>
          <w:t>https://sportnz.org.nz/assets/Uploads/Accessibility-Design-Guide-and-Checklist.pdf</w:t>
        </w:r>
      </w:hyperlink>
      <w:r>
        <w:t xml:space="preserve"> </w:t>
      </w:r>
    </w:p>
  </w:footnote>
  <w:footnote w:id="240">
    <w:p w:rsidR="003A486D" w:rsidRPr="007225D2" w:rsidRDefault="003A486D" w:rsidP="005C6961">
      <w:pPr>
        <w:pStyle w:val="FootnoteText"/>
      </w:pPr>
      <w:r>
        <w:rPr>
          <w:rStyle w:val="FootnoteReference"/>
        </w:rPr>
        <w:footnoteRef/>
      </w:r>
      <w:r>
        <w:t xml:space="preserve"> </w:t>
      </w:r>
      <w:r w:rsidRPr="00940EE2">
        <w:t xml:space="preserve">Te Papa, a museum in Wellington, provides for accessibility including </w:t>
      </w:r>
      <w:r>
        <w:t>designing</w:t>
      </w:r>
      <w:r w:rsidRPr="00940EE2">
        <w:t xml:space="preserve"> exhibitions to support visitors with differing levels of access (for example, those who are vision-impaired or require wheelchair access).  Visitor experiences include sensory tours for blind and low-vision visitors, head sets for tour group attendees with hearing difficulties, ‘relaxed viewings’ of exhibitions for people with sensory issues (</w:t>
      </w:r>
      <w:r>
        <w:t>including</w:t>
      </w:r>
      <w:r w:rsidRPr="00940EE2">
        <w:t xml:space="preserve"> autism) and tours in sign language during New Zealand Sign Language Week.  See </w:t>
      </w:r>
      <w:hyperlink r:id="rId134" w:history="1">
        <w:r w:rsidRPr="00940EE2">
          <w:rPr>
            <w:rStyle w:val="Hyperlink"/>
          </w:rPr>
          <w:t>www.tepapa.govt.nz/visit/plan-your-visit/accessibility</w:t>
        </w:r>
      </w:hyperlink>
      <w:r w:rsidRPr="00940EE2">
        <w:t>.</w:t>
      </w:r>
    </w:p>
  </w:footnote>
  <w:footnote w:id="241">
    <w:p w:rsidR="003A486D" w:rsidRPr="00940EE2" w:rsidRDefault="003A486D" w:rsidP="005C6961">
      <w:pPr>
        <w:pStyle w:val="FootnoteText"/>
        <w:rPr>
          <w:lang w:val="en-NZ"/>
        </w:rPr>
      </w:pPr>
      <w:r>
        <w:rPr>
          <w:rStyle w:val="FootnoteReference"/>
        </w:rPr>
        <w:footnoteRef/>
      </w:r>
      <w:r>
        <w:t xml:space="preserve"> </w:t>
      </w:r>
      <w:r w:rsidRPr="009D6732">
        <w:t>Heritage New Zealand Pouhere Taonga is a Crown entity</w:t>
      </w:r>
      <w:r>
        <w:t xml:space="preserve"> </w:t>
      </w:r>
      <w:r w:rsidRPr="009D6732">
        <w:t>that advocates for the protection of ancestral sites and heritage buildings in New Zealand.</w:t>
      </w:r>
    </w:p>
  </w:footnote>
  <w:footnote w:id="242">
    <w:p w:rsidR="003A486D" w:rsidRDefault="003A486D" w:rsidP="005C6961">
      <w:pPr>
        <w:pStyle w:val="FootnoteText"/>
        <w:rPr>
          <w:lang w:val="en-NZ"/>
        </w:rPr>
      </w:pPr>
      <w:r>
        <w:rPr>
          <w:rStyle w:val="FootnoteReference"/>
        </w:rPr>
        <w:footnoteRef/>
      </w:r>
      <w:r>
        <w:t xml:space="preserve"> Stats NZ worked with the Blind Foundation, IHC, CCS Disability Action, Women’s Refuge, People First</w:t>
      </w:r>
      <w:r>
        <w:br/>
        <w:t xml:space="preserve">and Deaf Radio. </w:t>
      </w:r>
      <w:hyperlink r:id="rId135" w:history="1">
        <w:r>
          <w:rPr>
            <w:rStyle w:val="Hyperlink"/>
          </w:rPr>
          <w:t>www.census.govt.nz/how-can-i-do-it/</w:t>
        </w:r>
      </w:hyperlink>
      <w:r>
        <w:t xml:space="preserve"> </w:t>
      </w:r>
    </w:p>
  </w:footnote>
  <w:footnote w:id="243">
    <w:p w:rsidR="003A486D" w:rsidRDefault="003A486D" w:rsidP="005C6961">
      <w:pPr>
        <w:pStyle w:val="FootnoteText"/>
        <w:rPr>
          <w:lang w:val="en-NZ"/>
        </w:rPr>
      </w:pPr>
      <w:r>
        <w:rPr>
          <w:rStyle w:val="FootnoteReference"/>
        </w:rPr>
        <w:footnoteRef/>
      </w:r>
      <w:r>
        <w:t xml:space="preserve"> The Access Alliance is a group of Disabled People’s Organisations, Disability Service Providers, and Disability Advocacy Organisations who are lobbying for accessibility legislation (</w:t>
      </w:r>
      <w:hyperlink r:id="rId136" w:history="1">
        <w:r>
          <w:rPr>
            <w:rStyle w:val="Hyperlink"/>
          </w:rPr>
          <w:t>www.accessalliance.org.nz/</w:t>
        </w:r>
      </w:hyperlink>
      <w:r>
        <w:t xml:space="preserve">)  </w:t>
      </w:r>
    </w:p>
  </w:footnote>
  <w:footnote w:id="244">
    <w:p w:rsidR="003A486D" w:rsidRDefault="003A486D" w:rsidP="005C6961">
      <w:pPr>
        <w:pStyle w:val="FootnoteText"/>
        <w:rPr>
          <w:lang w:val="en-NZ"/>
        </w:rPr>
      </w:pPr>
      <w:r>
        <w:rPr>
          <w:rStyle w:val="FootnoteReference"/>
        </w:rPr>
        <w:footnoteRef/>
      </w:r>
      <w:r>
        <w:t xml:space="preserve"> </w:t>
      </w:r>
      <w:hyperlink r:id="rId137" w:history="1">
        <w:r>
          <w:rPr>
            <w:rStyle w:val="Hyperlink"/>
          </w:rPr>
          <w:t>www.census.govt.nz/support-resources</w:t>
        </w:r>
      </w:hyperlink>
      <w:r>
        <w:t xml:space="preserve"> </w:t>
      </w:r>
    </w:p>
  </w:footnote>
  <w:footnote w:id="245">
    <w:p w:rsidR="003A486D" w:rsidRPr="00940EE2" w:rsidRDefault="003A486D" w:rsidP="005C6961">
      <w:pPr>
        <w:pStyle w:val="FootnoteText"/>
        <w:rPr>
          <w:lang w:val="en-NZ"/>
        </w:rPr>
      </w:pPr>
      <w:r>
        <w:rPr>
          <w:rStyle w:val="FootnoteReference"/>
        </w:rPr>
        <w:footnoteRef/>
      </w:r>
      <w:r>
        <w:t xml:space="preserve"> See </w:t>
      </w:r>
      <w:hyperlink r:id="rId138" w:history="1">
        <w:r w:rsidRPr="00531D3B">
          <w:rPr>
            <w:rStyle w:val="Hyperlink"/>
          </w:rPr>
          <w:t>www.stats.govt.nz/news/te-kupenga-2018-survey-of-maori-well-being-begins</w:t>
        </w:r>
      </w:hyperlink>
      <w:r>
        <w:t xml:space="preserve">  </w:t>
      </w:r>
    </w:p>
  </w:footnote>
  <w:footnote w:id="246">
    <w:p w:rsidR="003A486D" w:rsidRPr="00940EE2" w:rsidRDefault="003A486D" w:rsidP="005C6961">
      <w:pPr>
        <w:pStyle w:val="FootnoteText"/>
        <w:rPr>
          <w:lang w:val="en-NZ"/>
        </w:rPr>
      </w:pPr>
      <w:r>
        <w:rPr>
          <w:rStyle w:val="FootnoteReference"/>
        </w:rPr>
        <w:footnoteRef/>
      </w:r>
      <w:r>
        <w:t xml:space="preserve"> </w:t>
      </w:r>
      <w:r w:rsidRPr="00D12F91">
        <w:t>'Whaia te Ao Marama' in Te Reo means pursui</w:t>
      </w:r>
      <w:r>
        <w:t xml:space="preserve">ng the world of enlightenment. </w:t>
      </w:r>
      <w:r w:rsidRPr="00D12F91">
        <w:t>For the purposes of the plan, ‘Whāia te ao mārama’ means to pursue and enable a good life that is self-determined, through enlightened supports.</w:t>
      </w:r>
      <w:r>
        <w:t xml:space="preserve"> See </w:t>
      </w:r>
      <w:hyperlink r:id="rId139" w:history="1">
        <w:r w:rsidRPr="00761578">
          <w:rPr>
            <w:rStyle w:val="Hyperlink"/>
          </w:rPr>
          <w:t>www.health.govt.nz/our-work/disability-services/maori-disability-support-services/te-ao-marama-group</w:t>
        </w:r>
      </w:hyperlink>
    </w:p>
  </w:footnote>
  <w:footnote w:id="247">
    <w:p w:rsidR="003A486D" w:rsidRPr="00524697" w:rsidRDefault="003A486D" w:rsidP="005C6961">
      <w:pPr>
        <w:pStyle w:val="FootnoteText"/>
        <w:rPr>
          <w:lang w:val="en-NZ"/>
        </w:rPr>
      </w:pPr>
      <w:r>
        <w:rPr>
          <w:rStyle w:val="FootnoteReference"/>
        </w:rPr>
        <w:footnoteRef/>
      </w:r>
      <w:r>
        <w:t xml:space="preserve"> See</w:t>
      </w:r>
      <w:hyperlink w:history="1">
        <w:r w:rsidRPr="00531D3B">
          <w:rPr>
            <w:rStyle w:val="Hyperlink"/>
          </w:rPr>
          <w:t xml:space="preserve"> www.health.govt.nz/news-media/news-items/demographic-report-published-clients-allocated-ministry-healths-disability-support-services</w:t>
        </w:r>
      </w:hyperlink>
      <w:r>
        <w:t xml:space="preserve"> </w:t>
      </w:r>
    </w:p>
  </w:footnote>
  <w:footnote w:id="248">
    <w:p w:rsidR="003A486D" w:rsidRPr="000D6446" w:rsidRDefault="003A486D" w:rsidP="005C6961">
      <w:pPr>
        <w:pStyle w:val="FootnoteText"/>
        <w:rPr>
          <w:lang w:val="en-NZ"/>
        </w:rPr>
      </w:pPr>
      <w:r>
        <w:rPr>
          <w:rStyle w:val="FootnoteReference"/>
        </w:rPr>
        <w:footnoteRef/>
      </w:r>
      <w:r>
        <w:t xml:space="preserve"> </w:t>
      </w:r>
      <w:r>
        <w:rPr>
          <w:lang w:val="en-NZ"/>
        </w:rPr>
        <w:t>T</w:t>
      </w:r>
      <w:r>
        <w:t xml:space="preserve">hese six key issues were </w:t>
      </w:r>
      <w:r w:rsidRPr="00CC4B32">
        <w:t>identified by the Independent Monitoring Mechanism in their report to the Committee (November 2017)</w:t>
      </w:r>
      <w:r>
        <w:t xml:space="preserve"> </w:t>
      </w:r>
      <w:hyperlink r:id="rId140" w:history="1">
        <w:r w:rsidRPr="00993690">
          <w:rPr>
            <w:rStyle w:val="Hyperlink"/>
          </w:rPr>
          <w:t>www.hrc.co.nz/your-rights/people-disabilities/our-work/making-disability-rights-real/</w:t>
        </w:r>
      </w:hyperlink>
    </w:p>
  </w:footnote>
  <w:footnote w:id="249">
    <w:p w:rsidR="003A486D" w:rsidRPr="00245287" w:rsidRDefault="003A486D" w:rsidP="005C6961">
      <w:pPr>
        <w:pStyle w:val="FootnoteText"/>
        <w:rPr>
          <w:lang w:val="en-NZ"/>
        </w:rPr>
      </w:pPr>
      <w:r>
        <w:rPr>
          <w:rStyle w:val="FootnoteReference"/>
        </w:rPr>
        <w:footnoteRef/>
      </w:r>
      <w:r>
        <w:t xml:space="preserve"> The Human Rights Commission </w:t>
      </w:r>
      <w:r w:rsidRPr="00237D85">
        <w:t>is a national institution for the protection and promotion of human rights consi</w:t>
      </w:r>
      <w:r>
        <w:t>stent with the Paris Principles.</w:t>
      </w:r>
    </w:p>
  </w:footnote>
  <w:footnote w:id="250">
    <w:p w:rsidR="003A486D" w:rsidRPr="007B5330" w:rsidRDefault="003A486D" w:rsidP="005C6961">
      <w:pPr>
        <w:pStyle w:val="FootnoteText"/>
        <w:rPr>
          <w:lang w:val="en-NZ"/>
        </w:rPr>
      </w:pPr>
      <w:r>
        <w:rPr>
          <w:rStyle w:val="FootnoteReference"/>
        </w:rPr>
        <w:footnoteRef/>
      </w:r>
      <w:r>
        <w:t xml:space="preserve"> </w:t>
      </w:r>
      <w:r>
        <w:rPr>
          <w:lang w:val="en-NZ"/>
        </w:rPr>
        <w:t xml:space="preserve">See report here: </w:t>
      </w:r>
      <w:hyperlink r:id="rId141" w:history="1">
        <w:r w:rsidRPr="00F10D1F">
          <w:rPr>
            <w:rStyle w:val="Hyperlink"/>
            <w:lang w:val="en-NZ"/>
          </w:rPr>
          <w:t>www.odi.govt.nz/united-nations-convention-on-the-rights-of-persons-with-disabilities/nzs-monitoring-framework/report-on-the-review-of-disabled-people-led-monitoring/</w:t>
        </w:r>
      </w:hyperlink>
      <w:r>
        <w:rPr>
          <w:lang w:val="en-NZ"/>
        </w:rPr>
        <w:t xml:space="preserve"> </w:t>
      </w:r>
    </w:p>
  </w:footnote>
  <w:footnote w:id="251">
    <w:p w:rsidR="003A486D" w:rsidRPr="00820EE3" w:rsidRDefault="003A486D" w:rsidP="005C6961">
      <w:pPr>
        <w:pStyle w:val="FootnoteText"/>
        <w:rPr>
          <w:lang w:val="en-NZ"/>
        </w:rPr>
      </w:pPr>
      <w:r>
        <w:rPr>
          <w:rStyle w:val="FootnoteReference"/>
        </w:rPr>
        <w:footnoteRef/>
      </w:r>
      <w:r>
        <w:t xml:space="preserve"> </w:t>
      </w:r>
      <w:r>
        <w:rPr>
          <w:lang w:val="en-NZ"/>
        </w:rPr>
        <w:t xml:space="preserve">See </w:t>
      </w:r>
      <w:hyperlink r:id="rId142" w:history="1">
        <w:r w:rsidRPr="00531D3B">
          <w:rPr>
            <w:rStyle w:val="Hyperlink"/>
            <w:lang w:val="en-NZ"/>
          </w:rPr>
          <w:t>www.odi.govt.nz/united-nations-convention-on-the-rights-of-persons-with-disabilities/nzs-monitoring-framework/monitoring-reports-and-responses/reports-from-imm-and-responses-from-government/</w:t>
        </w:r>
      </w:hyperlink>
      <w:r>
        <w:rPr>
          <w:lang w:val="en-NZ"/>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6D" w:rsidRPr="00253104" w:rsidRDefault="003A486D" w:rsidP="0025310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77CF1"/>
    <w:multiLevelType w:val="hybridMultilevel"/>
    <w:tmpl w:val="7F7A0D78"/>
    <w:lvl w:ilvl="0" w:tplc="F5AC477A">
      <w:start w:val="1"/>
      <w:numFmt w:val="bullet"/>
      <w:pStyle w:val="CRPDStateParty-bullets"/>
      <w:lvlText w:val=""/>
      <w:lvlJc w:val="left"/>
      <w:pPr>
        <w:ind w:left="1854" w:hanging="360"/>
      </w:pPr>
      <w:rPr>
        <w:rFonts w:ascii="Symbol" w:hAnsi="Symbol" w:hint="default"/>
      </w:rPr>
    </w:lvl>
    <w:lvl w:ilvl="1" w:tplc="3B160748">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EC84F1D"/>
    <w:multiLevelType w:val="hybridMultilevel"/>
    <w:tmpl w:val="C9DC860E"/>
    <w:lvl w:ilvl="0" w:tplc="C5FE2BAC">
      <w:numFmt w:val="bullet"/>
      <w:lvlText w:val="•"/>
      <w:lvlJc w:val="left"/>
      <w:pPr>
        <w:ind w:left="720" w:hanging="360"/>
      </w:pPr>
      <w:rPr>
        <w:rFonts w:ascii="Times New Roman" w:eastAsia="SimSu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5952D9D"/>
    <w:multiLevelType w:val="multilevel"/>
    <w:tmpl w:val="2272B944"/>
    <w:lvl w:ilvl="0">
      <w:start w:val="1"/>
      <w:numFmt w:val="decimal"/>
      <w:pStyle w:val="NumtxtText"/>
      <w:lvlText w:val="%1"/>
      <w:lvlJc w:val="left"/>
      <w:pPr>
        <w:tabs>
          <w:tab w:val="num" w:pos="567"/>
        </w:tabs>
        <w:ind w:left="567" w:hanging="567"/>
      </w:pPr>
      <w:rPr>
        <w:rFonts w:hint="default"/>
      </w:rPr>
    </w:lvl>
    <w:lvl w:ilvl="1">
      <w:start w:val="1"/>
      <w:numFmt w:val="bullet"/>
      <w:pStyle w:val="NumtxtBullet1"/>
      <w:lvlText w:val=""/>
      <w:lvlJc w:val="left"/>
      <w:pPr>
        <w:tabs>
          <w:tab w:val="num" w:pos="992"/>
        </w:tabs>
        <w:ind w:left="992" w:hanging="425"/>
      </w:pPr>
      <w:rPr>
        <w:rFonts w:ascii="Symbol" w:hAnsi="Symbol" w:hint="default"/>
      </w:rPr>
    </w:lvl>
    <w:lvl w:ilvl="2">
      <w:start w:val="1"/>
      <w:numFmt w:val="bullet"/>
      <w:pStyle w:val="NumtxtBullet2"/>
      <w:lvlText w:val=""/>
      <w:lvlJc w:val="left"/>
      <w:pPr>
        <w:tabs>
          <w:tab w:val="num" w:pos="1418"/>
        </w:tabs>
        <w:ind w:left="1418" w:hanging="426"/>
      </w:pPr>
      <w:rPr>
        <w:rFonts w:ascii="Symbol" w:hAnsi="Symbol"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5">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74597C"/>
    <w:multiLevelType w:val="multilevel"/>
    <w:tmpl w:val="59B27C08"/>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8">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AD1ED0"/>
    <w:multiLevelType w:val="hybridMultilevel"/>
    <w:tmpl w:val="DF6E16EC"/>
    <w:lvl w:ilvl="0" w:tplc="DD409474">
      <w:start w:val="1"/>
      <w:numFmt w:val="decimal"/>
      <w:pStyle w:val="CRPD-subsectionheading"/>
      <w:lvlText w:val="%1."/>
      <w:lvlJc w:val="left"/>
      <w:pPr>
        <w:ind w:left="1530" w:hanging="360"/>
      </w:pPr>
      <w:rPr>
        <w:b w:val="0"/>
        <w:sz w:val="24"/>
        <w:szCs w:val="20"/>
      </w:rPr>
    </w:lvl>
    <w:lvl w:ilvl="1" w:tplc="14090001">
      <w:start w:val="1"/>
      <w:numFmt w:val="bullet"/>
      <w:lvlText w:val=""/>
      <w:lvlJc w:val="left"/>
      <w:pPr>
        <w:ind w:left="2250" w:hanging="360"/>
      </w:pPr>
      <w:rPr>
        <w:rFonts w:ascii="Symbol" w:hAnsi="Symbol" w:hint="default"/>
      </w:rPr>
    </w:lvl>
    <w:lvl w:ilvl="2" w:tplc="1409001B">
      <w:start w:val="1"/>
      <w:numFmt w:val="lowerRoman"/>
      <w:lvlText w:val="%3."/>
      <w:lvlJc w:val="right"/>
      <w:pPr>
        <w:ind w:left="2970" w:hanging="180"/>
      </w:pPr>
    </w:lvl>
    <w:lvl w:ilvl="3" w:tplc="1409000F" w:tentative="1">
      <w:start w:val="1"/>
      <w:numFmt w:val="decimal"/>
      <w:lvlText w:val="%4."/>
      <w:lvlJc w:val="left"/>
      <w:pPr>
        <w:ind w:left="3690" w:hanging="360"/>
      </w:pPr>
    </w:lvl>
    <w:lvl w:ilvl="4" w:tplc="14090019" w:tentative="1">
      <w:start w:val="1"/>
      <w:numFmt w:val="lowerLetter"/>
      <w:lvlText w:val="%5."/>
      <w:lvlJc w:val="left"/>
      <w:pPr>
        <w:ind w:left="4410" w:hanging="360"/>
      </w:pPr>
    </w:lvl>
    <w:lvl w:ilvl="5" w:tplc="1409001B" w:tentative="1">
      <w:start w:val="1"/>
      <w:numFmt w:val="lowerRoman"/>
      <w:lvlText w:val="%6."/>
      <w:lvlJc w:val="right"/>
      <w:pPr>
        <w:ind w:left="5130" w:hanging="180"/>
      </w:pPr>
    </w:lvl>
    <w:lvl w:ilvl="6" w:tplc="1409000F" w:tentative="1">
      <w:start w:val="1"/>
      <w:numFmt w:val="decimal"/>
      <w:lvlText w:val="%7."/>
      <w:lvlJc w:val="left"/>
      <w:pPr>
        <w:ind w:left="5850" w:hanging="360"/>
      </w:pPr>
    </w:lvl>
    <w:lvl w:ilvl="7" w:tplc="14090019" w:tentative="1">
      <w:start w:val="1"/>
      <w:numFmt w:val="lowerLetter"/>
      <w:lvlText w:val="%8."/>
      <w:lvlJc w:val="left"/>
      <w:pPr>
        <w:ind w:left="6570" w:hanging="360"/>
      </w:pPr>
    </w:lvl>
    <w:lvl w:ilvl="8" w:tplc="1409001B" w:tentative="1">
      <w:start w:val="1"/>
      <w:numFmt w:val="lowerRoman"/>
      <w:lvlText w:val="%9."/>
      <w:lvlJc w:val="right"/>
      <w:pPr>
        <w:ind w:left="7290" w:hanging="180"/>
      </w:pPr>
    </w:lvl>
  </w:abstractNum>
  <w:abstractNum w:abstractNumId="10">
    <w:nsid w:val="4E363518"/>
    <w:multiLevelType w:val="hybridMultilevel"/>
    <w:tmpl w:val="24AAD9F4"/>
    <w:lvl w:ilvl="0" w:tplc="8AAA043A">
      <w:start w:val="1"/>
      <w:numFmt w:val="decimal"/>
      <w:lvlText w:val="%1."/>
      <w:lvlJc w:val="left"/>
      <w:pPr>
        <w:ind w:left="360" w:hanging="360"/>
      </w:pPr>
      <w:rPr>
        <w:rFonts w:hint="default"/>
        <w:sz w:val="20"/>
        <w:szCs w:val="20"/>
        <w:u w:val="none"/>
      </w:rPr>
    </w:lvl>
    <w:lvl w:ilvl="1" w:tplc="14090001">
      <w:start w:val="1"/>
      <w:numFmt w:val="bullet"/>
      <w:lvlText w:val=""/>
      <w:lvlJc w:val="left"/>
      <w:pPr>
        <w:ind w:left="1014" w:hanging="360"/>
      </w:pPr>
      <w:rPr>
        <w:rFonts w:ascii="Symbol" w:hAnsi="Symbol" w:hint="default"/>
      </w:rPr>
    </w:lvl>
    <w:lvl w:ilvl="2" w:tplc="1409001B" w:tentative="1">
      <w:start w:val="1"/>
      <w:numFmt w:val="lowerRoman"/>
      <w:lvlText w:val="%3."/>
      <w:lvlJc w:val="right"/>
      <w:pPr>
        <w:ind w:left="1734" w:hanging="180"/>
      </w:pPr>
    </w:lvl>
    <w:lvl w:ilvl="3" w:tplc="1409000F" w:tentative="1">
      <w:start w:val="1"/>
      <w:numFmt w:val="decimal"/>
      <w:lvlText w:val="%4."/>
      <w:lvlJc w:val="left"/>
      <w:pPr>
        <w:ind w:left="2454" w:hanging="360"/>
      </w:pPr>
    </w:lvl>
    <w:lvl w:ilvl="4" w:tplc="14090019" w:tentative="1">
      <w:start w:val="1"/>
      <w:numFmt w:val="lowerLetter"/>
      <w:lvlText w:val="%5."/>
      <w:lvlJc w:val="left"/>
      <w:pPr>
        <w:ind w:left="3174" w:hanging="360"/>
      </w:pPr>
    </w:lvl>
    <w:lvl w:ilvl="5" w:tplc="1409001B" w:tentative="1">
      <w:start w:val="1"/>
      <w:numFmt w:val="lowerRoman"/>
      <w:lvlText w:val="%6."/>
      <w:lvlJc w:val="right"/>
      <w:pPr>
        <w:ind w:left="3894" w:hanging="180"/>
      </w:pPr>
    </w:lvl>
    <w:lvl w:ilvl="6" w:tplc="1409000F" w:tentative="1">
      <w:start w:val="1"/>
      <w:numFmt w:val="decimal"/>
      <w:lvlText w:val="%7."/>
      <w:lvlJc w:val="left"/>
      <w:pPr>
        <w:ind w:left="4614" w:hanging="360"/>
      </w:pPr>
    </w:lvl>
    <w:lvl w:ilvl="7" w:tplc="14090019" w:tentative="1">
      <w:start w:val="1"/>
      <w:numFmt w:val="lowerLetter"/>
      <w:lvlText w:val="%8."/>
      <w:lvlJc w:val="left"/>
      <w:pPr>
        <w:ind w:left="5334" w:hanging="360"/>
      </w:pPr>
    </w:lvl>
    <w:lvl w:ilvl="8" w:tplc="1409001B" w:tentative="1">
      <w:start w:val="1"/>
      <w:numFmt w:val="lowerRoman"/>
      <w:lvlText w:val="%9."/>
      <w:lvlJc w:val="right"/>
      <w:pPr>
        <w:ind w:left="6054" w:hanging="180"/>
      </w:pPr>
    </w:lvl>
  </w:abstractNum>
  <w:abstractNum w:abstractNumId="11">
    <w:nsid w:val="4EE97612"/>
    <w:multiLevelType w:val="hybridMultilevel"/>
    <w:tmpl w:val="D6A8AD1E"/>
    <w:lvl w:ilvl="0" w:tplc="8AAA043A">
      <w:start w:val="1"/>
      <w:numFmt w:val="decimal"/>
      <w:lvlText w:val="%1."/>
      <w:lvlJc w:val="left"/>
      <w:pPr>
        <w:ind w:left="360" w:hanging="360"/>
      </w:pPr>
      <w:rPr>
        <w:rFonts w:hint="default"/>
        <w:sz w:val="20"/>
        <w:szCs w:val="20"/>
        <w:u w:val="none"/>
      </w:rPr>
    </w:lvl>
    <w:lvl w:ilvl="1" w:tplc="14090019">
      <w:start w:val="1"/>
      <w:numFmt w:val="lowerLetter"/>
      <w:lvlText w:val="%2."/>
      <w:lvlJc w:val="left"/>
      <w:pPr>
        <w:ind w:left="1014" w:hanging="360"/>
      </w:pPr>
    </w:lvl>
    <w:lvl w:ilvl="2" w:tplc="1409001B" w:tentative="1">
      <w:start w:val="1"/>
      <w:numFmt w:val="lowerRoman"/>
      <w:lvlText w:val="%3."/>
      <w:lvlJc w:val="right"/>
      <w:pPr>
        <w:ind w:left="1734" w:hanging="180"/>
      </w:pPr>
    </w:lvl>
    <w:lvl w:ilvl="3" w:tplc="1409000F" w:tentative="1">
      <w:start w:val="1"/>
      <w:numFmt w:val="decimal"/>
      <w:lvlText w:val="%4."/>
      <w:lvlJc w:val="left"/>
      <w:pPr>
        <w:ind w:left="2454" w:hanging="360"/>
      </w:pPr>
    </w:lvl>
    <w:lvl w:ilvl="4" w:tplc="14090019" w:tentative="1">
      <w:start w:val="1"/>
      <w:numFmt w:val="lowerLetter"/>
      <w:lvlText w:val="%5."/>
      <w:lvlJc w:val="left"/>
      <w:pPr>
        <w:ind w:left="3174" w:hanging="360"/>
      </w:pPr>
    </w:lvl>
    <w:lvl w:ilvl="5" w:tplc="1409001B" w:tentative="1">
      <w:start w:val="1"/>
      <w:numFmt w:val="lowerRoman"/>
      <w:lvlText w:val="%6."/>
      <w:lvlJc w:val="right"/>
      <w:pPr>
        <w:ind w:left="3894" w:hanging="180"/>
      </w:pPr>
    </w:lvl>
    <w:lvl w:ilvl="6" w:tplc="1409000F" w:tentative="1">
      <w:start w:val="1"/>
      <w:numFmt w:val="decimal"/>
      <w:lvlText w:val="%7."/>
      <w:lvlJc w:val="left"/>
      <w:pPr>
        <w:ind w:left="4614" w:hanging="360"/>
      </w:pPr>
    </w:lvl>
    <w:lvl w:ilvl="7" w:tplc="14090019" w:tentative="1">
      <w:start w:val="1"/>
      <w:numFmt w:val="lowerLetter"/>
      <w:lvlText w:val="%8."/>
      <w:lvlJc w:val="left"/>
      <w:pPr>
        <w:ind w:left="5334" w:hanging="360"/>
      </w:pPr>
    </w:lvl>
    <w:lvl w:ilvl="8" w:tplc="1409001B" w:tentative="1">
      <w:start w:val="1"/>
      <w:numFmt w:val="lowerRoman"/>
      <w:lvlText w:val="%9."/>
      <w:lvlJc w:val="right"/>
      <w:pPr>
        <w:ind w:left="6054" w:hanging="180"/>
      </w:pPr>
    </w:lvl>
  </w:abstractNum>
  <w:abstractNum w:abstractNumId="12">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5404623F"/>
    <w:multiLevelType w:val="hybridMultilevel"/>
    <w:tmpl w:val="2C94B6C4"/>
    <w:lvl w:ilvl="0" w:tplc="F5AC477A">
      <w:start w:val="1"/>
      <w:numFmt w:val="bullet"/>
      <w:lvlText w:val=""/>
      <w:lvlJc w:val="left"/>
      <w:pPr>
        <w:ind w:left="1854" w:hanging="360"/>
      </w:pPr>
      <w:rPr>
        <w:rFonts w:ascii="Symbol" w:hAnsi="Symbol" w:hint="default"/>
      </w:rPr>
    </w:lvl>
    <w:lvl w:ilvl="1" w:tplc="3C6458BC">
      <w:start w:val="1"/>
      <w:numFmt w:val="bullet"/>
      <w:pStyle w:val="CRPDStateParty-indentedbullets"/>
      <w:lvlText w:val=""/>
      <w:lvlJc w:val="left"/>
      <w:pPr>
        <w:ind w:left="2574" w:hanging="360"/>
      </w:pPr>
      <w:rPr>
        <w:rFonts w:ascii="Symbol" w:hAnsi="Symbol" w:hint="default"/>
      </w:rPr>
    </w:lvl>
    <w:lvl w:ilvl="2" w:tplc="0AF8506E">
      <w:start w:val="1"/>
      <w:numFmt w:val="bullet"/>
      <w:pStyle w:val="CRPDStateParty-indentedbullets"/>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nsid w:val="56B22B46"/>
    <w:multiLevelType w:val="hybridMultilevel"/>
    <w:tmpl w:val="9F502C42"/>
    <w:lvl w:ilvl="0" w:tplc="14090001">
      <w:start w:val="1"/>
      <w:numFmt w:val="bullet"/>
      <w:lvlText w:val=""/>
      <w:lvlJc w:val="left"/>
      <w:pPr>
        <w:ind w:left="1077" w:hanging="360"/>
      </w:pPr>
      <w:rPr>
        <w:rFonts w:ascii="Symbol" w:hAnsi="Symbol" w:hint="default"/>
        <w:sz w:val="20"/>
        <w:szCs w:val="20"/>
        <w:u w:val="none"/>
      </w:rPr>
    </w:lvl>
    <w:lvl w:ilvl="1" w:tplc="14090019" w:tentative="1">
      <w:start w:val="1"/>
      <w:numFmt w:val="lowerLetter"/>
      <w:lvlText w:val="%2."/>
      <w:lvlJc w:val="left"/>
      <w:pPr>
        <w:ind w:left="1731" w:hanging="360"/>
      </w:pPr>
    </w:lvl>
    <w:lvl w:ilvl="2" w:tplc="1409001B" w:tentative="1">
      <w:start w:val="1"/>
      <w:numFmt w:val="lowerRoman"/>
      <w:lvlText w:val="%3."/>
      <w:lvlJc w:val="right"/>
      <w:pPr>
        <w:ind w:left="2451" w:hanging="180"/>
      </w:pPr>
    </w:lvl>
    <w:lvl w:ilvl="3" w:tplc="1409000F" w:tentative="1">
      <w:start w:val="1"/>
      <w:numFmt w:val="decimal"/>
      <w:lvlText w:val="%4."/>
      <w:lvlJc w:val="left"/>
      <w:pPr>
        <w:ind w:left="3171" w:hanging="360"/>
      </w:pPr>
    </w:lvl>
    <w:lvl w:ilvl="4" w:tplc="14090019" w:tentative="1">
      <w:start w:val="1"/>
      <w:numFmt w:val="lowerLetter"/>
      <w:lvlText w:val="%5."/>
      <w:lvlJc w:val="left"/>
      <w:pPr>
        <w:ind w:left="3891" w:hanging="360"/>
      </w:pPr>
    </w:lvl>
    <w:lvl w:ilvl="5" w:tplc="1409001B" w:tentative="1">
      <w:start w:val="1"/>
      <w:numFmt w:val="lowerRoman"/>
      <w:lvlText w:val="%6."/>
      <w:lvlJc w:val="right"/>
      <w:pPr>
        <w:ind w:left="4611" w:hanging="180"/>
      </w:pPr>
    </w:lvl>
    <w:lvl w:ilvl="6" w:tplc="1409000F" w:tentative="1">
      <w:start w:val="1"/>
      <w:numFmt w:val="decimal"/>
      <w:lvlText w:val="%7."/>
      <w:lvlJc w:val="left"/>
      <w:pPr>
        <w:ind w:left="5331" w:hanging="360"/>
      </w:pPr>
    </w:lvl>
    <w:lvl w:ilvl="7" w:tplc="14090019" w:tentative="1">
      <w:start w:val="1"/>
      <w:numFmt w:val="lowerLetter"/>
      <w:lvlText w:val="%8."/>
      <w:lvlJc w:val="left"/>
      <w:pPr>
        <w:ind w:left="6051" w:hanging="360"/>
      </w:pPr>
    </w:lvl>
    <w:lvl w:ilvl="8" w:tplc="1409001B" w:tentative="1">
      <w:start w:val="1"/>
      <w:numFmt w:val="lowerRoman"/>
      <w:lvlText w:val="%9."/>
      <w:lvlJc w:val="right"/>
      <w:pPr>
        <w:ind w:left="6771" w:hanging="180"/>
      </w:pPr>
    </w:lvl>
  </w:abstractNum>
  <w:abstractNum w:abstractNumId="15">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61D03470"/>
    <w:multiLevelType w:val="hybridMultilevel"/>
    <w:tmpl w:val="E1A2B0CC"/>
    <w:lvl w:ilvl="0" w:tplc="14090001">
      <w:start w:val="1"/>
      <w:numFmt w:val="bullet"/>
      <w:lvlText w:val=""/>
      <w:lvlJc w:val="left"/>
      <w:pPr>
        <w:ind w:left="3687" w:hanging="360"/>
      </w:pPr>
      <w:rPr>
        <w:rFonts w:ascii="Symbol" w:hAnsi="Symbol" w:hint="default"/>
        <w:i w:val="0"/>
      </w:rPr>
    </w:lvl>
    <w:lvl w:ilvl="1" w:tplc="14090019" w:tentative="1">
      <w:start w:val="1"/>
      <w:numFmt w:val="lowerLetter"/>
      <w:lvlText w:val="%2."/>
      <w:lvlJc w:val="left"/>
      <w:pPr>
        <w:ind w:left="4407" w:hanging="360"/>
      </w:pPr>
    </w:lvl>
    <w:lvl w:ilvl="2" w:tplc="1409001B" w:tentative="1">
      <w:start w:val="1"/>
      <w:numFmt w:val="lowerRoman"/>
      <w:lvlText w:val="%3."/>
      <w:lvlJc w:val="right"/>
      <w:pPr>
        <w:ind w:left="5127" w:hanging="180"/>
      </w:pPr>
    </w:lvl>
    <w:lvl w:ilvl="3" w:tplc="1409000F" w:tentative="1">
      <w:start w:val="1"/>
      <w:numFmt w:val="decimal"/>
      <w:lvlText w:val="%4."/>
      <w:lvlJc w:val="left"/>
      <w:pPr>
        <w:ind w:left="5847" w:hanging="360"/>
      </w:pPr>
    </w:lvl>
    <w:lvl w:ilvl="4" w:tplc="14090019" w:tentative="1">
      <w:start w:val="1"/>
      <w:numFmt w:val="lowerLetter"/>
      <w:lvlText w:val="%5."/>
      <w:lvlJc w:val="left"/>
      <w:pPr>
        <w:ind w:left="6567" w:hanging="360"/>
      </w:pPr>
    </w:lvl>
    <w:lvl w:ilvl="5" w:tplc="1409001B" w:tentative="1">
      <w:start w:val="1"/>
      <w:numFmt w:val="lowerRoman"/>
      <w:lvlText w:val="%6."/>
      <w:lvlJc w:val="right"/>
      <w:pPr>
        <w:ind w:left="7287" w:hanging="180"/>
      </w:pPr>
    </w:lvl>
    <w:lvl w:ilvl="6" w:tplc="1409000F" w:tentative="1">
      <w:start w:val="1"/>
      <w:numFmt w:val="decimal"/>
      <w:lvlText w:val="%7."/>
      <w:lvlJc w:val="left"/>
      <w:pPr>
        <w:ind w:left="8007" w:hanging="360"/>
      </w:pPr>
    </w:lvl>
    <w:lvl w:ilvl="7" w:tplc="14090019" w:tentative="1">
      <w:start w:val="1"/>
      <w:numFmt w:val="lowerLetter"/>
      <w:lvlText w:val="%8."/>
      <w:lvlJc w:val="left"/>
      <w:pPr>
        <w:ind w:left="8727" w:hanging="360"/>
      </w:pPr>
    </w:lvl>
    <w:lvl w:ilvl="8" w:tplc="1409001B" w:tentative="1">
      <w:start w:val="1"/>
      <w:numFmt w:val="lowerRoman"/>
      <w:lvlText w:val="%9."/>
      <w:lvlJc w:val="right"/>
      <w:pPr>
        <w:ind w:left="9447" w:hanging="180"/>
      </w:pPr>
    </w:lvl>
  </w:abstractNum>
  <w:abstractNum w:abstractNumId="17">
    <w:nsid w:val="6BB07E97"/>
    <w:multiLevelType w:val="hybridMultilevel"/>
    <w:tmpl w:val="B6427FC0"/>
    <w:lvl w:ilvl="0" w:tplc="8AAA043A">
      <w:start w:val="1"/>
      <w:numFmt w:val="decimal"/>
      <w:lvlText w:val="%1."/>
      <w:lvlJc w:val="left"/>
      <w:pPr>
        <w:ind w:left="786" w:hanging="360"/>
      </w:pPr>
      <w:rPr>
        <w:rFonts w:hint="default"/>
        <w:sz w:val="20"/>
        <w:szCs w:val="20"/>
        <w:u w:val="none"/>
      </w:rPr>
    </w:lvl>
    <w:lvl w:ilvl="1" w:tplc="14090019" w:tentative="1">
      <w:start w:val="1"/>
      <w:numFmt w:val="lowerLetter"/>
      <w:lvlText w:val="%2."/>
      <w:lvlJc w:val="left"/>
      <w:pPr>
        <w:ind w:left="1571" w:hanging="360"/>
      </w:pPr>
    </w:lvl>
    <w:lvl w:ilvl="2" w:tplc="1409001B" w:tentative="1">
      <w:start w:val="1"/>
      <w:numFmt w:val="lowerRoman"/>
      <w:lvlText w:val="%3."/>
      <w:lvlJc w:val="right"/>
      <w:pPr>
        <w:ind w:left="2291" w:hanging="180"/>
      </w:pPr>
    </w:lvl>
    <w:lvl w:ilvl="3" w:tplc="1409000F" w:tentative="1">
      <w:start w:val="1"/>
      <w:numFmt w:val="decimal"/>
      <w:lvlText w:val="%4."/>
      <w:lvlJc w:val="left"/>
      <w:pPr>
        <w:ind w:left="3011" w:hanging="360"/>
      </w:pPr>
    </w:lvl>
    <w:lvl w:ilvl="4" w:tplc="14090019" w:tentative="1">
      <w:start w:val="1"/>
      <w:numFmt w:val="lowerLetter"/>
      <w:lvlText w:val="%5."/>
      <w:lvlJc w:val="left"/>
      <w:pPr>
        <w:ind w:left="3731" w:hanging="360"/>
      </w:pPr>
    </w:lvl>
    <w:lvl w:ilvl="5" w:tplc="1409001B" w:tentative="1">
      <w:start w:val="1"/>
      <w:numFmt w:val="lowerRoman"/>
      <w:lvlText w:val="%6."/>
      <w:lvlJc w:val="right"/>
      <w:pPr>
        <w:ind w:left="4451" w:hanging="180"/>
      </w:pPr>
    </w:lvl>
    <w:lvl w:ilvl="6" w:tplc="1409000F" w:tentative="1">
      <w:start w:val="1"/>
      <w:numFmt w:val="decimal"/>
      <w:lvlText w:val="%7."/>
      <w:lvlJc w:val="left"/>
      <w:pPr>
        <w:ind w:left="5171" w:hanging="360"/>
      </w:pPr>
    </w:lvl>
    <w:lvl w:ilvl="7" w:tplc="14090019" w:tentative="1">
      <w:start w:val="1"/>
      <w:numFmt w:val="lowerLetter"/>
      <w:lvlText w:val="%8."/>
      <w:lvlJc w:val="left"/>
      <w:pPr>
        <w:ind w:left="5891" w:hanging="360"/>
      </w:pPr>
    </w:lvl>
    <w:lvl w:ilvl="8" w:tplc="1409001B" w:tentative="1">
      <w:start w:val="1"/>
      <w:numFmt w:val="lowerRoman"/>
      <w:lvlText w:val="%9."/>
      <w:lvlJc w:val="right"/>
      <w:pPr>
        <w:ind w:left="6611" w:hanging="180"/>
      </w:pPr>
    </w:lvl>
  </w:abstractNum>
  <w:abstractNum w:abstractNumId="18">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8"/>
  </w:num>
  <w:num w:numId="2">
    <w:abstractNumId w:val="6"/>
  </w:num>
  <w:num w:numId="3">
    <w:abstractNumId w:val="0"/>
  </w:num>
  <w:num w:numId="4">
    <w:abstractNumId w:val="15"/>
  </w:num>
  <w:num w:numId="5">
    <w:abstractNumId w:val="18"/>
  </w:num>
  <w:num w:numId="6">
    <w:abstractNumId w:val="1"/>
  </w:num>
  <w:num w:numId="7">
    <w:abstractNumId w:val="12"/>
  </w:num>
  <w:num w:numId="8">
    <w:abstractNumId w:val="7"/>
    <w:lvlOverride w:ilvl="0">
      <w:lvl w:ilvl="0">
        <w:start w:val="1"/>
        <w:numFmt w:val="decimal"/>
        <w:pStyle w:val="ReportBody"/>
        <w:lvlText w:val="%1"/>
        <w:lvlJc w:val="left"/>
        <w:pPr>
          <w:tabs>
            <w:tab w:val="num" w:pos="493"/>
          </w:tabs>
          <w:ind w:left="493" w:hanging="493"/>
        </w:pPr>
        <w:rPr>
          <w:rFonts w:hint="default"/>
        </w:rPr>
      </w:lvl>
    </w:lvlOverride>
  </w:num>
  <w:num w:numId="9">
    <w:abstractNumId w:val="4"/>
  </w:num>
  <w:num w:numId="10">
    <w:abstractNumId w:val="19"/>
  </w:num>
  <w:num w:numId="11">
    <w:abstractNumId w:val="3"/>
  </w:num>
  <w:num w:numId="12">
    <w:abstractNumId w:val="5"/>
  </w:num>
  <w:num w:numId="13">
    <w:abstractNumId w:val="2"/>
  </w:num>
  <w:num w:numId="14">
    <w:abstractNumId w:val="9"/>
  </w:num>
  <w:num w:numId="15">
    <w:abstractNumId w:val="1"/>
  </w:num>
  <w:num w:numId="16">
    <w:abstractNumId w:val="13"/>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11"/>
  </w:num>
  <w:num w:numId="32">
    <w:abstractNumId w:val="14"/>
  </w:num>
  <w:num w:numId="33">
    <w:abstractNumId w:val="10"/>
  </w:num>
  <w:num w:numId="34">
    <w:abstractNumId w:val="16"/>
  </w:num>
  <w:num w:numId="35">
    <w:abstractNumId w:val="17"/>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num>
  <w:num w:numId="41">
    <w:abstractNumId w:val="9"/>
  </w:num>
  <w:num w:numId="42">
    <w:abstractNumId w:val="9"/>
    <w:lvlOverride w:ilvl="0">
      <w:startOverride w:val="1"/>
    </w:lvlOverride>
  </w:num>
  <w:num w:numId="43">
    <w:abstractNumId w:val="9"/>
    <w:lvlOverride w:ilvl="0">
      <w:startOverride w:val="1"/>
    </w:lvlOverride>
  </w:num>
  <w:num w:numId="44">
    <w:abstractNumId w:val="9"/>
  </w:num>
  <w:num w:numId="45">
    <w:abstractNumId w:val="9"/>
  </w:num>
  <w:num w:numId="46">
    <w:abstractNumId w:val="1"/>
  </w:num>
  <w:num w:numId="47">
    <w:abstractNumId w:val="9"/>
    <w:lvlOverride w:ilvl="0">
      <w:startOverride w:val="1"/>
    </w:lvlOverride>
  </w:num>
  <w:num w:numId="48">
    <w:abstractNumId w:val="9"/>
    <w:lvlOverride w:ilvl="0">
      <w:startOverride w:val="1"/>
    </w:lvlOverride>
  </w:num>
  <w:num w:numId="49">
    <w:abstractNumId w:val="9"/>
    <w:lvlOverride w:ilvl="0">
      <w:startOverride w:val="1"/>
    </w:lvlOverride>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Cohen">
    <w15:presenceInfo w15:providerId="AD" w15:userId="S-1-5-21-1645522239-261903793-725345543-7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NZ" w:vendorID="64" w:dllVersion="131078" w:nlCheck="1" w:checkStyle="0"/>
  <w:activeWritingStyle w:appName="MSWord" w:lang="en-GB" w:vendorID="64" w:dllVersion="131078" w:nlCheck="1" w:checkStyle="1"/>
  <w:activeWritingStyle w:appName="MSWord" w:lang="en-US" w:vendorID="64" w:dllVersion="131078" w:nlCheck="1" w:checkStyle="1"/>
  <w:revisionView w:inkAnnotations="0"/>
  <w:defaultTabStop w:val="567"/>
  <w:evenAndOddHeaders/>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2MDYyNTa3MDE3NzJS0lEKTi0uzszPAykwNqgFAMXANJ8tAAAA"/>
  </w:docVars>
  <w:rsids>
    <w:rsidRoot w:val="00D025B7"/>
    <w:rsid w:val="000027E6"/>
    <w:rsid w:val="00002F2E"/>
    <w:rsid w:val="000074A7"/>
    <w:rsid w:val="00007D60"/>
    <w:rsid w:val="000113C4"/>
    <w:rsid w:val="000124B7"/>
    <w:rsid w:val="00015762"/>
    <w:rsid w:val="00016418"/>
    <w:rsid w:val="00020279"/>
    <w:rsid w:val="00020800"/>
    <w:rsid w:val="00020A3B"/>
    <w:rsid w:val="00020B0D"/>
    <w:rsid w:val="00020E9B"/>
    <w:rsid w:val="000218C3"/>
    <w:rsid w:val="00021B11"/>
    <w:rsid w:val="000239B1"/>
    <w:rsid w:val="00026953"/>
    <w:rsid w:val="00027302"/>
    <w:rsid w:val="0002766D"/>
    <w:rsid w:val="00031505"/>
    <w:rsid w:val="000318CC"/>
    <w:rsid w:val="00031B26"/>
    <w:rsid w:val="00031D00"/>
    <w:rsid w:val="00031D62"/>
    <w:rsid w:val="0003415D"/>
    <w:rsid w:val="00040601"/>
    <w:rsid w:val="00042625"/>
    <w:rsid w:val="00043363"/>
    <w:rsid w:val="000434D9"/>
    <w:rsid w:val="00043EE3"/>
    <w:rsid w:val="00044ED5"/>
    <w:rsid w:val="000453AD"/>
    <w:rsid w:val="000457DB"/>
    <w:rsid w:val="00045CC9"/>
    <w:rsid w:val="00045E2A"/>
    <w:rsid w:val="00045F5F"/>
    <w:rsid w:val="00046C73"/>
    <w:rsid w:val="00046E92"/>
    <w:rsid w:val="00050A1A"/>
    <w:rsid w:val="00050F13"/>
    <w:rsid w:val="00053571"/>
    <w:rsid w:val="00053D04"/>
    <w:rsid w:val="0005462D"/>
    <w:rsid w:val="0005480A"/>
    <w:rsid w:val="00054D09"/>
    <w:rsid w:val="00054E53"/>
    <w:rsid w:val="000573FD"/>
    <w:rsid w:val="00057FBB"/>
    <w:rsid w:val="00061283"/>
    <w:rsid w:val="0006480E"/>
    <w:rsid w:val="00064A06"/>
    <w:rsid w:val="00064AFD"/>
    <w:rsid w:val="00064B7F"/>
    <w:rsid w:val="00065400"/>
    <w:rsid w:val="000670E6"/>
    <w:rsid w:val="0006720A"/>
    <w:rsid w:val="00067CA7"/>
    <w:rsid w:val="00071244"/>
    <w:rsid w:val="00071477"/>
    <w:rsid w:val="00071E14"/>
    <w:rsid w:val="000728DC"/>
    <w:rsid w:val="00072F06"/>
    <w:rsid w:val="000745E8"/>
    <w:rsid w:val="00076811"/>
    <w:rsid w:val="000772BC"/>
    <w:rsid w:val="000774F8"/>
    <w:rsid w:val="000806A4"/>
    <w:rsid w:val="00080B0D"/>
    <w:rsid w:val="00080CCE"/>
    <w:rsid w:val="00080F38"/>
    <w:rsid w:val="00081AFB"/>
    <w:rsid w:val="000831F5"/>
    <w:rsid w:val="00084403"/>
    <w:rsid w:val="00085CF5"/>
    <w:rsid w:val="000873F8"/>
    <w:rsid w:val="0009011B"/>
    <w:rsid w:val="0009047C"/>
    <w:rsid w:val="00092C6E"/>
    <w:rsid w:val="00094F05"/>
    <w:rsid w:val="0009558F"/>
    <w:rsid w:val="000958BD"/>
    <w:rsid w:val="000974C8"/>
    <w:rsid w:val="000A2732"/>
    <w:rsid w:val="000A4076"/>
    <w:rsid w:val="000A40C5"/>
    <w:rsid w:val="000A57E2"/>
    <w:rsid w:val="000A5DDE"/>
    <w:rsid w:val="000A71DC"/>
    <w:rsid w:val="000B2731"/>
    <w:rsid w:val="000B5420"/>
    <w:rsid w:val="000B617C"/>
    <w:rsid w:val="000B6643"/>
    <w:rsid w:val="000B67F6"/>
    <w:rsid w:val="000B7363"/>
    <w:rsid w:val="000C0A35"/>
    <w:rsid w:val="000C1577"/>
    <w:rsid w:val="000C2923"/>
    <w:rsid w:val="000C3275"/>
    <w:rsid w:val="000C341D"/>
    <w:rsid w:val="000C636B"/>
    <w:rsid w:val="000C7F35"/>
    <w:rsid w:val="000D0118"/>
    <w:rsid w:val="000D049E"/>
    <w:rsid w:val="000D16DC"/>
    <w:rsid w:val="000D2C7F"/>
    <w:rsid w:val="000D3085"/>
    <w:rsid w:val="000D4810"/>
    <w:rsid w:val="000D4A2B"/>
    <w:rsid w:val="000D5A93"/>
    <w:rsid w:val="000D6446"/>
    <w:rsid w:val="000D64B0"/>
    <w:rsid w:val="000D6792"/>
    <w:rsid w:val="000D79A4"/>
    <w:rsid w:val="000E0762"/>
    <w:rsid w:val="000E0A56"/>
    <w:rsid w:val="000E1315"/>
    <w:rsid w:val="000E1C5C"/>
    <w:rsid w:val="000E1DC5"/>
    <w:rsid w:val="000E272F"/>
    <w:rsid w:val="000E2A80"/>
    <w:rsid w:val="000E30BB"/>
    <w:rsid w:val="000E5BE2"/>
    <w:rsid w:val="000E6B5D"/>
    <w:rsid w:val="000E7310"/>
    <w:rsid w:val="000E7E4B"/>
    <w:rsid w:val="000F038A"/>
    <w:rsid w:val="000F0741"/>
    <w:rsid w:val="000F106C"/>
    <w:rsid w:val="000F1DF5"/>
    <w:rsid w:val="000F2F3E"/>
    <w:rsid w:val="000F3E7D"/>
    <w:rsid w:val="000F52D3"/>
    <w:rsid w:val="000F67F8"/>
    <w:rsid w:val="000F7CF5"/>
    <w:rsid w:val="001002ED"/>
    <w:rsid w:val="00100ECD"/>
    <w:rsid w:val="00101889"/>
    <w:rsid w:val="001030B7"/>
    <w:rsid w:val="00104387"/>
    <w:rsid w:val="00104764"/>
    <w:rsid w:val="00105D65"/>
    <w:rsid w:val="001106A8"/>
    <w:rsid w:val="00112210"/>
    <w:rsid w:val="001132E4"/>
    <w:rsid w:val="0011415D"/>
    <w:rsid w:val="001151BF"/>
    <w:rsid w:val="00116763"/>
    <w:rsid w:val="00116775"/>
    <w:rsid w:val="0012061B"/>
    <w:rsid w:val="0012265A"/>
    <w:rsid w:val="001242EB"/>
    <w:rsid w:val="001248AE"/>
    <w:rsid w:val="00124B40"/>
    <w:rsid w:val="00127590"/>
    <w:rsid w:val="001277B3"/>
    <w:rsid w:val="00127A28"/>
    <w:rsid w:val="0013103D"/>
    <w:rsid w:val="00131DDB"/>
    <w:rsid w:val="00133456"/>
    <w:rsid w:val="001339D5"/>
    <w:rsid w:val="00133DFE"/>
    <w:rsid w:val="001344EF"/>
    <w:rsid w:val="00134C49"/>
    <w:rsid w:val="001357F5"/>
    <w:rsid w:val="00135831"/>
    <w:rsid w:val="00137849"/>
    <w:rsid w:val="0013786C"/>
    <w:rsid w:val="00137B3A"/>
    <w:rsid w:val="00137C26"/>
    <w:rsid w:val="001404B6"/>
    <w:rsid w:val="00141967"/>
    <w:rsid w:val="001427DC"/>
    <w:rsid w:val="0014297C"/>
    <w:rsid w:val="00143EE6"/>
    <w:rsid w:val="001444E0"/>
    <w:rsid w:val="00144A52"/>
    <w:rsid w:val="00144B5E"/>
    <w:rsid w:val="00144E84"/>
    <w:rsid w:val="0014501E"/>
    <w:rsid w:val="00145832"/>
    <w:rsid w:val="00147F6D"/>
    <w:rsid w:val="00151E6C"/>
    <w:rsid w:val="001520D5"/>
    <w:rsid w:val="00152A22"/>
    <w:rsid w:val="0015641E"/>
    <w:rsid w:val="00157215"/>
    <w:rsid w:val="001606C2"/>
    <w:rsid w:val="001623F2"/>
    <w:rsid w:val="001634F5"/>
    <w:rsid w:val="00163F9E"/>
    <w:rsid w:val="001656F2"/>
    <w:rsid w:val="00165DD6"/>
    <w:rsid w:val="00166ADE"/>
    <w:rsid w:val="0017073B"/>
    <w:rsid w:val="00170ADC"/>
    <w:rsid w:val="00172103"/>
    <w:rsid w:val="00172F81"/>
    <w:rsid w:val="00173B8B"/>
    <w:rsid w:val="0017611A"/>
    <w:rsid w:val="001821D0"/>
    <w:rsid w:val="00182B3D"/>
    <w:rsid w:val="00183306"/>
    <w:rsid w:val="001833FA"/>
    <w:rsid w:val="0018348B"/>
    <w:rsid w:val="00184B83"/>
    <w:rsid w:val="00184BD4"/>
    <w:rsid w:val="00185E9E"/>
    <w:rsid w:val="00186D92"/>
    <w:rsid w:val="00187AA1"/>
    <w:rsid w:val="00190634"/>
    <w:rsid w:val="00193DDC"/>
    <w:rsid w:val="001940A5"/>
    <w:rsid w:val="00194A63"/>
    <w:rsid w:val="001957F1"/>
    <w:rsid w:val="001962E1"/>
    <w:rsid w:val="001966B8"/>
    <w:rsid w:val="001974ED"/>
    <w:rsid w:val="00197FA3"/>
    <w:rsid w:val="001A20DB"/>
    <w:rsid w:val="001A24A5"/>
    <w:rsid w:val="001A2DD8"/>
    <w:rsid w:val="001A34FA"/>
    <w:rsid w:val="001A3CF6"/>
    <w:rsid w:val="001A40BB"/>
    <w:rsid w:val="001A641E"/>
    <w:rsid w:val="001A6428"/>
    <w:rsid w:val="001A7EC7"/>
    <w:rsid w:val="001B181D"/>
    <w:rsid w:val="001B25BD"/>
    <w:rsid w:val="001B27F5"/>
    <w:rsid w:val="001B2A28"/>
    <w:rsid w:val="001B3550"/>
    <w:rsid w:val="001B394C"/>
    <w:rsid w:val="001B54CD"/>
    <w:rsid w:val="001B595A"/>
    <w:rsid w:val="001B70DE"/>
    <w:rsid w:val="001B7F52"/>
    <w:rsid w:val="001C0593"/>
    <w:rsid w:val="001C0665"/>
    <w:rsid w:val="001C3170"/>
    <w:rsid w:val="001C3A54"/>
    <w:rsid w:val="001C3B72"/>
    <w:rsid w:val="001C4256"/>
    <w:rsid w:val="001C515B"/>
    <w:rsid w:val="001C5682"/>
    <w:rsid w:val="001C685D"/>
    <w:rsid w:val="001C7C8F"/>
    <w:rsid w:val="001C7F50"/>
    <w:rsid w:val="001D4717"/>
    <w:rsid w:val="001D4789"/>
    <w:rsid w:val="001D4A6E"/>
    <w:rsid w:val="001D4F87"/>
    <w:rsid w:val="001D5380"/>
    <w:rsid w:val="001D6BD1"/>
    <w:rsid w:val="001D79A6"/>
    <w:rsid w:val="001D7D01"/>
    <w:rsid w:val="001E01FD"/>
    <w:rsid w:val="001E0984"/>
    <w:rsid w:val="001E2630"/>
    <w:rsid w:val="001E33D9"/>
    <w:rsid w:val="001E465A"/>
    <w:rsid w:val="001E6CFB"/>
    <w:rsid w:val="001E6DFB"/>
    <w:rsid w:val="001E71A8"/>
    <w:rsid w:val="001E77D7"/>
    <w:rsid w:val="001F2CEF"/>
    <w:rsid w:val="001F3FA2"/>
    <w:rsid w:val="001F434B"/>
    <w:rsid w:val="001F4669"/>
    <w:rsid w:val="001F6FC3"/>
    <w:rsid w:val="00202E5E"/>
    <w:rsid w:val="0020328D"/>
    <w:rsid w:val="0020347C"/>
    <w:rsid w:val="00205A4F"/>
    <w:rsid w:val="00205A70"/>
    <w:rsid w:val="002067DA"/>
    <w:rsid w:val="002073D0"/>
    <w:rsid w:val="00210150"/>
    <w:rsid w:val="00211AA9"/>
    <w:rsid w:val="002127AD"/>
    <w:rsid w:val="0021495E"/>
    <w:rsid w:val="0021775B"/>
    <w:rsid w:val="00220308"/>
    <w:rsid w:val="00220FA2"/>
    <w:rsid w:val="002234FD"/>
    <w:rsid w:val="002262EE"/>
    <w:rsid w:val="00226CA0"/>
    <w:rsid w:val="0023067E"/>
    <w:rsid w:val="002319BB"/>
    <w:rsid w:val="0023251F"/>
    <w:rsid w:val="002328A0"/>
    <w:rsid w:val="00233065"/>
    <w:rsid w:val="00235DC0"/>
    <w:rsid w:val="0023676F"/>
    <w:rsid w:val="002377E7"/>
    <w:rsid w:val="00237D85"/>
    <w:rsid w:val="00237EA6"/>
    <w:rsid w:val="00241A0E"/>
    <w:rsid w:val="002426F4"/>
    <w:rsid w:val="00242E58"/>
    <w:rsid w:val="0024303B"/>
    <w:rsid w:val="002436E0"/>
    <w:rsid w:val="00244D99"/>
    <w:rsid w:val="00244E0D"/>
    <w:rsid w:val="00245287"/>
    <w:rsid w:val="002454B7"/>
    <w:rsid w:val="002464BA"/>
    <w:rsid w:val="002465E1"/>
    <w:rsid w:val="00246892"/>
    <w:rsid w:val="00247654"/>
    <w:rsid w:val="00247E2C"/>
    <w:rsid w:val="00252D09"/>
    <w:rsid w:val="00253104"/>
    <w:rsid w:val="00253BD4"/>
    <w:rsid w:val="0025757A"/>
    <w:rsid w:val="00257600"/>
    <w:rsid w:val="002615CA"/>
    <w:rsid w:val="00261FD3"/>
    <w:rsid w:val="002622F8"/>
    <w:rsid w:val="002625D2"/>
    <w:rsid w:val="002675A2"/>
    <w:rsid w:val="00272479"/>
    <w:rsid w:val="002752CE"/>
    <w:rsid w:val="002765E3"/>
    <w:rsid w:val="002769FA"/>
    <w:rsid w:val="00276E62"/>
    <w:rsid w:val="00277C98"/>
    <w:rsid w:val="002801F0"/>
    <w:rsid w:val="00280474"/>
    <w:rsid w:val="00285231"/>
    <w:rsid w:val="002853E2"/>
    <w:rsid w:val="00285A6D"/>
    <w:rsid w:val="00286B51"/>
    <w:rsid w:val="002875B9"/>
    <w:rsid w:val="0029056F"/>
    <w:rsid w:val="002912D8"/>
    <w:rsid w:val="0029236A"/>
    <w:rsid w:val="0029322F"/>
    <w:rsid w:val="00294444"/>
    <w:rsid w:val="00295EEC"/>
    <w:rsid w:val="002961C4"/>
    <w:rsid w:val="00296BDF"/>
    <w:rsid w:val="0029733B"/>
    <w:rsid w:val="00297F8C"/>
    <w:rsid w:val="002A023D"/>
    <w:rsid w:val="002A06F1"/>
    <w:rsid w:val="002A16A6"/>
    <w:rsid w:val="002A325A"/>
    <w:rsid w:val="002A5463"/>
    <w:rsid w:val="002A5710"/>
    <w:rsid w:val="002A5A55"/>
    <w:rsid w:val="002B0BE4"/>
    <w:rsid w:val="002B111F"/>
    <w:rsid w:val="002B154D"/>
    <w:rsid w:val="002B18D4"/>
    <w:rsid w:val="002B2971"/>
    <w:rsid w:val="002B2D2A"/>
    <w:rsid w:val="002B2D60"/>
    <w:rsid w:val="002B4CD6"/>
    <w:rsid w:val="002B6889"/>
    <w:rsid w:val="002C0AFA"/>
    <w:rsid w:val="002C1161"/>
    <w:rsid w:val="002C46E3"/>
    <w:rsid w:val="002C5338"/>
    <w:rsid w:val="002C73F7"/>
    <w:rsid w:val="002D01D6"/>
    <w:rsid w:val="002D0E05"/>
    <w:rsid w:val="002D1367"/>
    <w:rsid w:val="002D192E"/>
    <w:rsid w:val="002D1E79"/>
    <w:rsid w:val="002D21E1"/>
    <w:rsid w:val="002D4691"/>
    <w:rsid w:val="002D6994"/>
    <w:rsid w:val="002D6C53"/>
    <w:rsid w:val="002E07BD"/>
    <w:rsid w:val="002E139B"/>
    <w:rsid w:val="002E1681"/>
    <w:rsid w:val="002E3B58"/>
    <w:rsid w:val="002E4B07"/>
    <w:rsid w:val="002E5DCA"/>
    <w:rsid w:val="002E6CF9"/>
    <w:rsid w:val="002F1547"/>
    <w:rsid w:val="002F164F"/>
    <w:rsid w:val="002F23B2"/>
    <w:rsid w:val="002F37B8"/>
    <w:rsid w:val="002F4949"/>
    <w:rsid w:val="002F5595"/>
    <w:rsid w:val="002F624B"/>
    <w:rsid w:val="002F682B"/>
    <w:rsid w:val="002F6B9A"/>
    <w:rsid w:val="00300C6C"/>
    <w:rsid w:val="003025D3"/>
    <w:rsid w:val="00305238"/>
    <w:rsid w:val="0030618F"/>
    <w:rsid w:val="00307269"/>
    <w:rsid w:val="003119A0"/>
    <w:rsid w:val="00312CBA"/>
    <w:rsid w:val="0031397C"/>
    <w:rsid w:val="003150A7"/>
    <w:rsid w:val="00317556"/>
    <w:rsid w:val="00317A9A"/>
    <w:rsid w:val="00317DC1"/>
    <w:rsid w:val="003201D9"/>
    <w:rsid w:val="0032063B"/>
    <w:rsid w:val="00320CC4"/>
    <w:rsid w:val="0032190C"/>
    <w:rsid w:val="00321B29"/>
    <w:rsid w:val="00322249"/>
    <w:rsid w:val="00323FA2"/>
    <w:rsid w:val="00324B0F"/>
    <w:rsid w:val="00324F52"/>
    <w:rsid w:val="003259E3"/>
    <w:rsid w:val="003278EA"/>
    <w:rsid w:val="00334DC7"/>
    <w:rsid w:val="00334F6A"/>
    <w:rsid w:val="00335FBA"/>
    <w:rsid w:val="003369B0"/>
    <w:rsid w:val="00336D2B"/>
    <w:rsid w:val="003411F7"/>
    <w:rsid w:val="00342AB0"/>
    <w:rsid w:val="00342AC8"/>
    <w:rsid w:val="003443F0"/>
    <w:rsid w:val="00344DC7"/>
    <w:rsid w:val="00345ACE"/>
    <w:rsid w:val="0034666E"/>
    <w:rsid w:val="003468DB"/>
    <w:rsid w:val="00347467"/>
    <w:rsid w:val="00350FC4"/>
    <w:rsid w:val="003546C8"/>
    <w:rsid w:val="00360723"/>
    <w:rsid w:val="0036232B"/>
    <w:rsid w:val="003623C9"/>
    <w:rsid w:val="00362E18"/>
    <w:rsid w:val="003636B0"/>
    <w:rsid w:val="00363DB1"/>
    <w:rsid w:val="00365327"/>
    <w:rsid w:val="00365C92"/>
    <w:rsid w:val="00366383"/>
    <w:rsid w:val="00366C93"/>
    <w:rsid w:val="003678C4"/>
    <w:rsid w:val="00367933"/>
    <w:rsid w:val="00367C3C"/>
    <w:rsid w:val="0037144F"/>
    <w:rsid w:val="003725BB"/>
    <w:rsid w:val="00372D2D"/>
    <w:rsid w:val="00372D3A"/>
    <w:rsid w:val="00373067"/>
    <w:rsid w:val="00373113"/>
    <w:rsid w:val="003752E4"/>
    <w:rsid w:val="00375F7A"/>
    <w:rsid w:val="00376454"/>
    <w:rsid w:val="00377C22"/>
    <w:rsid w:val="00377DC9"/>
    <w:rsid w:val="00380D3A"/>
    <w:rsid w:val="0038428C"/>
    <w:rsid w:val="003850BD"/>
    <w:rsid w:val="0038539A"/>
    <w:rsid w:val="00385AE2"/>
    <w:rsid w:val="00387731"/>
    <w:rsid w:val="00387B6B"/>
    <w:rsid w:val="003901F2"/>
    <w:rsid w:val="00391095"/>
    <w:rsid w:val="0039195C"/>
    <w:rsid w:val="00391F0C"/>
    <w:rsid w:val="003923FE"/>
    <w:rsid w:val="003932BE"/>
    <w:rsid w:val="00394509"/>
    <w:rsid w:val="003955E1"/>
    <w:rsid w:val="003965DD"/>
    <w:rsid w:val="00396CBF"/>
    <w:rsid w:val="003A037D"/>
    <w:rsid w:val="003A0CA6"/>
    <w:rsid w:val="003A1C8C"/>
    <w:rsid w:val="003A3264"/>
    <w:rsid w:val="003A32C3"/>
    <w:rsid w:val="003A3912"/>
    <w:rsid w:val="003A486D"/>
    <w:rsid w:val="003A5AD0"/>
    <w:rsid w:val="003A5CE0"/>
    <w:rsid w:val="003A6A60"/>
    <w:rsid w:val="003A6E87"/>
    <w:rsid w:val="003B0248"/>
    <w:rsid w:val="003B1613"/>
    <w:rsid w:val="003B1F30"/>
    <w:rsid w:val="003B293C"/>
    <w:rsid w:val="003B3427"/>
    <w:rsid w:val="003B3DD3"/>
    <w:rsid w:val="003B44FA"/>
    <w:rsid w:val="003B4550"/>
    <w:rsid w:val="003B625B"/>
    <w:rsid w:val="003B6292"/>
    <w:rsid w:val="003B7E4A"/>
    <w:rsid w:val="003C02F6"/>
    <w:rsid w:val="003C045A"/>
    <w:rsid w:val="003C0CBB"/>
    <w:rsid w:val="003C0FAE"/>
    <w:rsid w:val="003C618F"/>
    <w:rsid w:val="003C6329"/>
    <w:rsid w:val="003C674B"/>
    <w:rsid w:val="003C6ECE"/>
    <w:rsid w:val="003D0E1F"/>
    <w:rsid w:val="003D1AC6"/>
    <w:rsid w:val="003D30FE"/>
    <w:rsid w:val="003D4DB4"/>
    <w:rsid w:val="003D63FC"/>
    <w:rsid w:val="003E0A20"/>
    <w:rsid w:val="003E1F74"/>
    <w:rsid w:val="003E24AE"/>
    <w:rsid w:val="003E470B"/>
    <w:rsid w:val="003E5C5B"/>
    <w:rsid w:val="003E5E84"/>
    <w:rsid w:val="003E6954"/>
    <w:rsid w:val="003E7F5E"/>
    <w:rsid w:val="003E7FC8"/>
    <w:rsid w:val="003F00B0"/>
    <w:rsid w:val="003F2668"/>
    <w:rsid w:val="003F2C77"/>
    <w:rsid w:val="003F382A"/>
    <w:rsid w:val="003F40E2"/>
    <w:rsid w:val="003F62A9"/>
    <w:rsid w:val="003F63C2"/>
    <w:rsid w:val="003F6704"/>
    <w:rsid w:val="003F70C1"/>
    <w:rsid w:val="004006E6"/>
    <w:rsid w:val="004016B6"/>
    <w:rsid w:val="004029E4"/>
    <w:rsid w:val="004037CA"/>
    <w:rsid w:val="00403957"/>
    <w:rsid w:val="00403E2B"/>
    <w:rsid w:val="00404B08"/>
    <w:rsid w:val="0040562B"/>
    <w:rsid w:val="00405A72"/>
    <w:rsid w:val="00406C83"/>
    <w:rsid w:val="004077B6"/>
    <w:rsid w:val="0041008F"/>
    <w:rsid w:val="00410126"/>
    <w:rsid w:val="00411033"/>
    <w:rsid w:val="00413BB8"/>
    <w:rsid w:val="00413F06"/>
    <w:rsid w:val="0041571D"/>
    <w:rsid w:val="00415931"/>
    <w:rsid w:val="00415B0A"/>
    <w:rsid w:val="00415B58"/>
    <w:rsid w:val="0041603A"/>
    <w:rsid w:val="00416745"/>
    <w:rsid w:val="004168ED"/>
    <w:rsid w:val="00416B11"/>
    <w:rsid w:val="00420B3F"/>
    <w:rsid w:val="00420D5D"/>
    <w:rsid w:val="004212FD"/>
    <w:rsid w:val="00422E20"/>
    <w:rsid w:val="0042363D"/>
    <w:rsid w:val="004236AA"/>
    <w:rsid w:val="0042397A"/>
    <w:rsid w:val="00424B9A"/>
    <w:rsid w:val="00425985"/>
    <w:rsid w:val="00425B76"/>
    <w:rsid w:val="00427440"/>
    <w:rsid w:val="0042777A"/>
    <w:rsid w:val="00430ADF"/>
    <w:rsid w:val="00430EEC"/>
    <w:rsid w:val="00430F91"/>
    <w:rsid w:val="004313C2"/>
    <w:rsid w:val="004313F6"/>
    <w:rsid w:val="00432F86"/>
    <w:rsid w:val="00434010"/>
    <w:rsid w:val="004356BD"/>
    <w:rsid w:val="00435FF7"/>
    <w:rsid w:val="0043646F"/>
    <w:rsid w:val="00437924"/>
    <w:rsid w:val="0044182B"/>
    <w:rsid w:val="004425FE"/>
    <w:rsid w:val="00445418"/>
    <w:rsid w:val="004470D9"/>
    <w:rsid w:val="00447C06"/>
    <w:rsid w:val="00450BC2"/>
    <w:rsid w:val="00450F7A"/>
    <w:rsid w:val="00451256"/>
    <w:rsid w:val="00451875"/>
    <w:rsid w:val="004537BF"/>
    <w:rsid w:val="0045383B"/>
    <w:rsid w:val="00453BB0"/>
    <w:rsid w:val="00453BF5"/>
    <w:rsid w:val="004544FE"/>
    <w:rsid w:val="004549CC"/>
    <w:rsid w:val="00457E2D"/>
    <w:rsid w:val="00460510"/>
    <w:rsid w:val="00460E59"/>
    <w:rsid w:val="00461233"/>
    <w:rsid w:val="00461253"/>
    <w:rsid w:val="00461391"/>
    <w:rsid w:val="00461EFC"/>
    <w:rsid w:val="0046257D"/>
    <w:rsid w:val="00462E95"/>
    <w:rsid w:val="0046468B"/>
    <w:rsid w:val="00467F62"/>
    <w:rsid w:val="00470CDC"/>
    <w:rsid w:val="00470E08"/>
    <w:rsid w:val="00471476"/>
    <w:rsid w:val="00471F4A"/>
    <w:rsid w:val="004738E5"/>
    <w:rsid w:val="004741C2"/>
    <w:rsid w:val="00475070"/>
    <w:rsid w:val="004775E4"/>
    <w:rsid w:val="00482C95"/>
    <w:rsid w:val="00483007"/>
    <w:rsid w:val="004830E3"/>
    <w:rsid w:val="0048577E"/>
    <w:rsid w:val="00485E5E"/>
    <w:rsid w:val="0048618E"/>
    <w:rsid w:val="00487AEB"/>
    <w:rsid w:val="00490926"/>
    <w:rsid w:val="00490F51"/>
    <w:rsid w:val="00491561"/>
    <w:rsid w:val="00491588"/>
    <w:rsid w:val="0049169A"/>
    <w:rsid w:val="0049486A"/>
    <w:rsid w:val="00494CF1"/>
    <w:rsid w:val="0049531A"/>
    <w:rsid w:val="00495B2F"/>
    <w:rsid w:val="0049681D"/>
    <w:rsid w:val="00497C9C"/>
    <w:rsid w:val="004A0506"/>
    <w:rsid w:val="004A0607"/>
    <w:rsid w:val="004A0C4C"/>
    <w:rsid w:val="004A0F5D"/>
    <w:rsid w:val="004A186B"/>
    <w:rsid w:val="004A1DC4"/>
    <w:rsid w:val="004A23FD"/>
    <w:rsid w:val="004A2637"/>
    <w:rsid w:val="004A3608"/>
    <w:rsid w:val="004A5BA7"/>
    <w:rsid w:val="004A5BA8"/>
    <w:rsid w:val="004A696B"/>
    <w:rsid w:val="004A75B0"/>
    <w:rsid w:val="004A7984"/>
    <w:rsid w:val="004B02CA"/>
    <w:rsid w:val="004B1760"/>
    <w:rsid w:val="004B23F4"/>
    <w:rsid w:val="004B2525"/>
    <w:rsid w:val="004B2E6B"/>
    <w:rsid w:val="004B3F27"/>
    <w:rsid w:val="004B4BD4"/>
    <w:rsid w:val="004B6785"/>
    <w:rsid w:val="004B7643"/>
    <w:rsid w:val="004C00A1"/>
    <w:rsid w:val="004C3B27"/>
    <w:rsid w:val="004C666B"/>
    <w:rsid w:val="004C6D56"/>
    <w:rsid w:val="004C6F2C"/>
    <w:rsid w:val="004C71B5"/>
    <w:rsid w:val="004C7C18"/>
    <w:rsid w:val="004D04B6"/>
    <w:rsid w:val="004D1ADD"/>
    <w:rsid w:val="004D211A"/>
    <w:rsid w:val="004D22D4"/>
    <w:rsid w:val="004D41A9"/>
    <w:rsid w:val="004D501E"/>
    <w:rsid w:val="004D56BB"/>
    <w:rsid w:val="004D6435"/>
    <w:rsid w:val="004D78F6"/>
    <w:rsid w:val="004E0A80"/>
    <w:rsid w:val="004E2414"/>
    <w:rsid w:val="004E33DF"/>
    <w:rsid w:val="004E473C"/>
    <w:rsid w:val="004E4764"/>
    <w:rsid w:val="004E6BCF"/>
    <w:rsid w:val="004E7590"/>
    <w:rsid w:val="004E7ADC"/>
    <w:rsid w:val="004F0260"/>
    <w:rsid w:val="004F0931"/>
    <w:rsid w:val="004F4C51"/>
    <w:rsid w:val="004F4EC3"/>
    <w:rsid w:val="004F51C8"/>
    <w:rsid w:val="004F55DD"/>
    <w:rsid w:val="004F5E79"/>
    <w:rsid w:val="00500D85"/>
    <w:rsid w:val="0050110F"/>
    <w:rsid w:val="005035F9"/>
    <w:rsid w:val="005042C2"/>
    <w:rsid w:val="00505E60"/>
    <w:rsid w:val="00507E45"/>
    <w:rsid w:val="00507FE3"/>
    <w:rsid w:val="00512BDE"/>
    <w:rsid w:val="00513338"/>
    <w:rsid w:val="00513E63"/>
    <w:rsid w:val="00513F5A"/>
    <w:rsid w:val="005142C3"/>
    <w:rsid w:val="005148DB"/>
    <w:rsid w:val="00514B6B"/>
    <w:rsid w:val="00515E0F"/>
    <w:rsid w:val="00517188"/>
    <w:rsid w:val="0051724E"/>
    <w:rsid w:val="00521949"/>
    <w:rsid w:val="005219F0"/>
    <w:rsid w:val="005224B3"/>
    <w:rsid w:val="005228AB"/>
    <w:rsid w:val="00523935"/>
    <w:rsid w:val="00523C95"/>
    <w:rsid w:val="0052411C"/>
    <w:rsid w:val="00524697"/>
    <w:rsid w:val="00524D25"/>
    <w:rsid w:val="00524DFA"/>
    <w:rsid w:val="00525E35"/>
    <w:rsid w:val="00525E89"/>
    <w:rsid w:val="005260F5"/>
    <w:rsid w:val="00526936"/>
    <w:rsid w:val="00527291"/>
    <w:rsid w:val="00527D50"/>
    <w:rsid w:val="00530E1F"/>
    <w:rsid w:val="00531429"/>
    <w:rsid w:val="00532D67"/>
    <w:rsid w:val="005330D4"/>
    <w:rsid w:val="0053630F"/>
    <w:rsid w:val="00537AD2"/>
    <w:rsid w:val="0054014B"/>
    <w:rsid w:val="00540365"/>
    <w:rsid w:val="0054106E"/>
    <w:rsid w:val="00541711"/>
    <w:rsid w:val="00541F2D"/>
    <w:rsid w:val="005420E9"/>
    <w:rsid w:val="00543EE4"/>
    <w:rsid w:val="00544CD0"/>
    <w:rsid w:val="00545DB2"/>
    <w:rsid w:val="00546442"/>
    <w:rsid w:val="00546FAF"/>
    <w:rsid w:val="00547B16"/>
    <w:rsid w:val="00550149"/>
    <w:rsid w:val="0055180C"/>
    <w:rsid w:val="00552181"/>
    <w:rsid w:val="00552E45"/>
    <w:rsid w:val="00560A18"/>
    <w:rsid w:val="00560EBD"/>
    <w:rsid w:val="005610D0"/>
    <w:rsid w:val="0056141F"/>
    <w:rsid w:val="00561575"/>
    <w:rsid w:val="0056370E"/>
    <w:rsid w:val="005641E8"/>
    <w:rsid w:val="00564CD9"/>
    <w:rsid w:val="00565A94"/>
    <w:rsid w:val="00566884"/>
    <w:rsid w:val="00572491"/>
    <w:rsid w:val="00572608"/>
    <w:rsid w:val="00572B59"/>
    <w:rsid w:val="0057318B"/>
    <w:rsid w:val="0057452A"/>
    <w:rsid w:val="00574936"/>
    <w:rsid w:val="00574EFE"/>
    <w:rsid w:val="0057588A"/>
    <w:rsid w:val="00580B7C"/>
    <w:rsid w:val="005815BE"/>
    <w:rsid w:val="0058268A"/>
    <w:rsid w:val="00584385"/>
    <w:rsid w:val="005849A7"/>
    <w:rsid w:val="00584E1A"/>
    <w:rsid w:val="00586177"/>
    <w:rsid w:val="0058686B"/>
    <w:rsid w:val="005869CE"/>
    <w:rsid w:val="0058768A"/>
    <w:rsid w:val="0058795B"/>
    <w:rsid w:val="005879E6"/>
    <w:rsid w:val="00587E8D"/>
    <w:rsid w:val="00591066"/>
    <w:rsid w:val="0059111B"/>
    <w:rsid w:val="00591877"/>
    <w:rsid w:val="005930B0"/>
    <w:rsid w:val="005941BE"/>
    <w:rsid w:val="0059536C"/>
    <w:rsid w:val="0059561D"/>
    <w:rsid w:val="00595F68"/>
    <w:rsid w:val="00596008"/>
    <w:rsid w:val="00597344"/>
    <w:rsid w:val="00597781"/>
    <w:rsid w:val="005A0702"/>
    <w:rsid w:val="005A0B35"/>
    <w:rsid w:val="005A18F4"/>
    <w:rsid w:val="005A1A6B"/>
    <w:rsid w:val="005A2180"/>
    <w:rsid w:val="005A4035"/>
    <w:rsid w:val="005A460E"/>
    <w:rsid w:val="005A4BC1"/>
    <w:rsid w:val="005A5309"/>
    <w:rsid w:val="005A5A93"/>
    <w:rsid w:val="005A5C46"/>
    <w:rsid w:val="005A6076"/>
    <w:rsid w:val="005A67F2"/>
    <w:rsid w:val="005A7060"/>
    <w:rsid w:val="005B1040"/>
    <w:rsid w:val="005B21BA"/>
    <w:rsid w:val="005B33F0"/>
    <w:rsid w:val="005B35BD"/>
    <w:rsid w:val="005B3AE4"/>
    <w:rsid w:val="005B3F95"/>
    <w:rsid w:val="005B589D"/>
    <w:rsid w:val="005B66B1"/>
    <w:rsid w:val="005C017D"/>
    <w:rsid w:val="005C07E5"/>
    <w:rsid w:val="005C10BF"/>
    <w:rsid w:val="005C263F"/>
    <w:rsid w:val="005C357D"/>
    <w:rsid w:val="005C5410"/>
    <w:rsid w:val="005C58EC"/>
    <w:rsid w:val="005C64C4"/>
    <w:rsid w:val="005C6961"/>
    <w:rsid w:val="005D0EF7"/>
    <w:rsid w:val="005D1CC3"/>
    <w:rsid w:val="005D21B4"/>
    <w:rsid w:val="005D2EB2"/>
    <w:rsid w:val="005D3129"/>
    <w:rsid w:val="005D3348"/>
    <w:rsid w:val="005D42FB"/>
    <w:rsid w:val="005D52AA"/>
    <w:rsid w:val="005D5E9F"/>
    <w:rsid w:val="005D618F"/>
    <w:rsid w:val="005D678F"/>
    <w:rsid w:val="005D67F7"/>
    <w:rsid w:val="005D72CA"/>
    <w:rsid w:val="005D752D"/>
    <w:rsid w:val="005E08B1"/>
    <w:rsid w:val="005E08DF"/>
    <w:rsid w:val="005E091C"/>
    <w:rsid w:val="005E0D25"/>
    <w:rsid w:val="005E3B03"/>
    <w:rsid w:val="005E4960"/>
    <w:rsid w:val="005E5639"/>
    <w:rsid w:val="005E5C21"/>
    <w:rsid w:val="005E79A3"/>
    <w:rsid w:val="005E7F83"/>
    <w:rsid w:val="005F0A4A"/>
    <w:rsid w:val="005F0A95"/>
    <w:rsid w:val="005F13F8"/>
    <w:rsid w:val="005F35B8"/>
    <w:rsid w:val="005F390D"/>
    <w:rsid w:val="005F4D1F"/>
    <w:rsid w:val="005F750E"/>
    <w:rsid w:val="00600587"/>
    <w:rsid w:val="00603D78"/>
    <w:rsid w:val="006053C6"/>
    <w:rsid w:val="0061093A"/>
    <w:rsid w:val="00610F25"/>
    <w:rsid w:val="00610FD9"/>
    <w:rsid w:val="0061157A"/>
    <w:rsid w:val="00614795"/>
    <w:rsid w:val="00614F66"/>
    <w:rsid w:val="006156B8"/>
    <w:rsid w:val="00615D31"/>
    <w:rsid w:val="006161EE"/>
    <w:rsid w:val="00620EC6"/>
    <w:rsid w:val="00621205"/>
    <w:rsid w:val="0062130F"/>
    <w:rsid w:val="006230AC"/>
    <w:rsid w:val="00623F27"/>
    <w:rsid w:val="00625C7A"/>
    <w:rsid w:val="00625F58"/>
    <w:rsid w:val="006265FD"/>
    <w:rsid w:val="00627FE2"/>
    <w:rsid w:val="006317B1"/>
    <w:rsid w:val="006355D9"/>
    <w:rsid w:val="00635873"/>
    <w:rsid w:val="00635B08"/>
    <w:rsid w:val="00636F50"/>
    <w:rsid w:val="00640213"/>
    <w:rsid w:val="00641021"/>
    <w:rsid w:val="006411F5"/>
    <w:rsid w:val="00641361"/>
    <w:rsid w:val="006431B3"/>
    <w:rsid w:val="00643362"/>
    <w:rsid w:val="00643943"/>
    <w:rsid w:val="00643DEE"/>
    <w:rsid w:val="00650054"/>
    <w:rsid w:val="00651F26"/>
    <w:rsid w:val="0065285D"/>
    <w:rsid w:val="006551E2"/>
    <w:rsid w:val="00655991"/>
    <w:rsid w:val="00657AEC"/>
    <w:rsid w:val="00660C1E"/>
    <w:rsid w:val="00660E8A"/>
    <w:rsid w:val="006616CF"/>
    <w:rsid w:val="00663C30"/>
    <w:rsid w:val="006641B4"/>
    <w:rsid w:val="006644EB"/>
    <w:rsid w:val="0066471C"/>
    <w:rsid w:val="00664EB2"/>
    <w:rsid w:val="00665920"/>
    <w:rsid w:val="00667173"/>
    <w:rsid w:val="00671529"/>
    <w:rsid w:val="006726F3"/>
    <w:rsid w:val="0067289A"/>
    <w:rsid w:val="00672F93"/>
    <w:rsid w:val="006730B8"/>
    <w:rsid w:val="00674E73"/>
    <w:rsid w:val="00675DF4"/>
    <w:rsid w:val="006762AD"/>
    <w:rsid w:val="00677EF7"/>
    <w:rsid w:val="00680442"/>
    <w:rsid w:val="00682E08"/>
    <w:rsid w:val="00682E3E"/>
    <w:rsid w:val="006862AB"/>
    <w:rsid w:val="006863A6"/>
    <w:rsid w:val="006869A2"/>
    <w:rsid w:val="0068705D"/>
    <w:rsid w:val="0069184A"/>
    <w:rsid w:val="00692A3E"/>
    <w:rsid w:val="00693713"/>
    <w:rsid w:val="006937BD"/>
    <w:rsid w:val="00694C95"/>
    <w:rsid w:val="00694FF6"/>
    <w:rsid w:val="00695BA7"/>
    <w:rsid w:val="00695C2E"/>
    <w:rsid w:val="006967A6"/>
    <w:rsid w:val="00697141"/>
    <w:rsid w:val="006A05B3"/>
    <w:rsid w:val="006A0882"/>
    <w:rsid w:val="006A1470"/>
    <w:rsid w:val="006A1D28"/>
    <w:rsid w:val="006A1FF5"/>
    <w:rsid w:val="006A4056"/>
    <w:rsid w:val="006A43F9"/>
    <w:rsid w:val="006A514A"/>
    <w:rsid w:val="006A6297"/>
    <w:rsid w:val="006A668E"/>
    <w:rsid w:val="006A6E85"/>
    <w:rsid w:val="006B16E9"/>
    <w:rsid w:val="006B1895"/>
    <w:rsid w:val="006B1ACE"/>
    <w:rsid w:val="006B1F9D"/>
    <w:rsid w:val="006B38B6"/>
    <w:rsid w:val="006B3AAB"/>
    <w:rsid w:val="006B3F2F"/>
    <w:rsid w:val="006B453C"/>
    <w:rsid w:val="006B4E0C"/>
    <w:rsid w:val="006B6622"/>
    <w:rsid w:val="006B6980"/>
    <w:rsid w:val="006B6F9C"/>
    <w:rsid w:val="006B7AA7"/>
    <w:rsid w:val="006C14F1"/>
    <w:rsid w:val="006C2962"/>
    <w:rsid w:val="006C29D3"/>
    <w:rsid w:val="006C38F5"/>
    <w:rsid w:val="006C46E6"/>
    <w:rsid w:val="006C4AFD"/>
    <w:rsid w:val="006D184F"/>
    <w:rsid w:val="006D1B62"/>
    <w:rsid w:val="006D3DC1"/>
    <w:rsid w:val="006D4435"/>
    <w:rsid w:val="006D48B9"/>
    <w:rsid w:val="006D52BD"/>
    <w:rsid w:val="006D7017"/>
    <w:rsid w:val="006D7498"/>
    <w:rsid w:val="006E009A"/>
    <w:rsid w:val="006E0B17"/>
    <w:rsid w:val="006E2AD3"/>
    <w:rsid w:val="006E2C37"/>
    <w:rsid w:val="006E31D7"/>
    <w:rsid w:val="006E34A3"/>
    <w:rsid w:val="006E4390"/>
    <w:rsid w:val="006E4B51"/>
    <w:rsid w:val="006E53DC"/>
    <w:rsid w:val="006E5733"/>
    <w:rsid w:val="006E5821"/>
    <w:rsid w:val="006E5E92"/>
    <w:rsid w:val="006E6141"/>
    <w:rsid w:val="006E6E15"/>
    <w:rsid w:val="006E7161"/>
    <w:rsid w:val="006E71FD"/>
    <w:rsid w:val="006E7943"/>
    <w:rsid w:val="006F18CF"/>
    <w:rsid w:val="006F237E"/>
    <w:rsid w:val="006F26F2"/>
    <w:rsid w:val="006F2D5F"/>
    <w:rsid w:val="006F3560"/>
    <w:rsid w:val="006F65D6"/>
    <w:rsid w:val="006F7302"/>
    <w:rsid w:val="006F7AC4"/>
    <w:rsid w:val="00700C11"/>
    <w:rsid w:val="0070137C"/>
    <w:rsid w:val="00701A40"/>
    <w:rsid w:val="0070209A"/>
    <w:rsid w:val="0070337E"/>
    <w:rsid w:val="00704BF0"/>
    <w:rsid w:val="00705366"/>
    <w:rsid w:val="00705DC2"/>
    <w:rsid w:val="00706374"/>
    <w:rsid w:val="0070766B"/>
    <w:rsid w:val="007118C3"/>
    <w:rsid w:val="007129B6"/>
    <w:rsid w:val="00712B34"/>
    <w:rsid w:val="00714D65"/>
    <w:rsid w:val="007151CF"/>
    <w:rsid w:val="00716671"/>
    <w:rsid w:val="00716AF0"/>
    <w:rsid w:val="00717B32"/>
    <w:rsid w:val="00717D07"/>
    <w:rsid w:val="00720F8A"/>
    <w:rsid w:val="007225D2"/>
    <w:rsid w:val="007228FB"/>
    <w:rsid w:val="00722C69"/>
    <w:rsid w:val="00722E96"/>
    <w:rsid w:val="0072362A"/>
    <w:rsid w:val="0072496B"/>
    <w:rsid w:val="007268F9"/>
    <w:rsid w:val="00727CD9"/>
    <w:rsid w:val="00730187"/>
    <w:rsid w:val="00731A45"/>
    <w:rsid w:val="00732F2D"/>
    <w:rsid w:val="00733578"/>
    <w:rsid w:val="00733663"/>
    <w:rsid w:val="0073410C"/>
    <w:rsid w:val="00734747"/>
    <w:rsid w:val="00734B5E"/>
    <w:rsid w:val="00735D7B"/>
    <w:rsid w:val="007369AD"/>
    <w:rsid w:val="00736B0F"/>
    <w:rsid w:val="00737B39"/>
    <w:rsid w:val="007411ED"/>
    <w:rsid w:val="00742B5B"/>
    <w:rsid w:val="007435FD"/>
    <w:rsid w:val="00744887"/>
    <w:rsid w:val="007469B1"/>
    <w:rsid w:val="007475B0"/>
    <w:rsid w:val="0075033C"/>
    <w:rsid w:val="007536AD"/>
    <w:rsid w:val="00754206"/>
    <w:rsid w:val="00755668"/>
    <w:rsid w:val="00755C23"/>
    <w:rsid w:val="00756295"/>
    <w:rsid w:val="00761B1F"/>
    <w:rsid w:val="00762367"/>
    <w:rsid w:val="007628FA"/>
    <w:rsid w:val="00763A15"/>
    <w:rsid w:val="00763AD6"/>
    <w:rsid w:val="00763E79"/>
    <w:rsid w:val="00764CF7"/>
    <w:rsid w:val="00764F9C"/>
    <w:rsid w:val="0076568C"/>
    <w:rsid w:val="00766A82"/>
    <w:rsid w:val="00767140"/>
    <w:rsid w:val="00767580"/>
    <w:rsid w:val="007676C7"/>
    <w:rsid w:val="0077004E"/>
    <w:rsid w:val="007704A9"/>
    <w:rsid w:val="00770D29"/>
    <w:rsid w:val="007710DB"/>
    <w:rsid w:val="00771B7D"/>
    <w:rsid w:val="00771F4F"/>
    <w:rsid w:val="00772788"/>
    <w:rsid w:val="00772F73"/>
    <w:rsid w:val="007742DF"/>
    <w:rsid w:val="00775AF6"/>
    <w:rsid w:val="00776298"/>
    <w:rsid w:val="007766AE"/>
    <w:rsid w:val="007767B9"/>
    <w:rsid w:val="007769D0"/>
    <w:rsid w:val="0077724C"/>
    <w:rsid w:val="00777DB8"/>
    <w:rsid w:val="0078082B"/>
    <w:rsid w:val="00781B02"/>
    <w:rsid w:val="007822E0"/>
    <w:rsid w:val="00782FF3"/>
    <w:rsid w:val="0078428A"/>
    <w:rsid w:val="007851DA"/>
    <w:rsid w:val="007856ED"/>
    <w:rsid w:val="0078636C"/>
    <w:rsid w:val="0078705B"/>
    <w:rsid w:val="0078747B"/>
    <w:rsid w:val="00791589"/>
    <w:rsid w:val="007920A1"/>
    <w:rsid w:val="00793080"/>
    <w:rsid w:val="0079426A"/>
    <w:rsid w:val="00795026"/>
    <w:rsid w:val="00795781"/>
    <w:rsid w:val="00795863"/>
    <w:rsid w:val="00796571"/>
    <w:rsid w:val="00797716"/>
    <w:rsid w:val="007A022B"/>
    <w:rsid w:val="007A1276"/>
    <w:rsid w:val="007A1776"/>
    <w:rsid w:val="007A43B7"/>
    <w:rsid w:val="007A4E85"/>
    <w:rsid w:val="007A6AFE"/>
    <w:rsid w:val="007A75F8"/>
    <w:rsid w:val="007B01AF"/>
    <w:rsid w:val="007B19D7"/>
    <w:rsid w:val="007B1E46"/>
    <w:rsid w:val="007B245C"/>
    <w:rsid w:val="007B42D7"/>
    <w:rsid w:val="007B482E"/>
    <w:rsid w:val="007B5266"/>
    <w:rsid w:val="007B5330"/>
    <w:rsid w:val="007B6603"/>
    <w:rsid w:val="007B6D6D"/>
    <w:rsid w:val="007B7877"/>
    <w:rsid w:val="007C1E59"/>
    <w:rsid w:val="007C238E"/>
    <w:rsid w:val="007C256E"/>
    <w:rsid w:val="007C27D0"/>
    <w:rsid w:val="007C2DED"/>
    <w:rsid w:val="007C2FA5"/>
    <w:rsid w:val="007C340D"/>
    <w:rsid w:val="007C3A7E"/>
    <w:rsid w:val="007C3EAB"/>
    <w:rsid w:val="007C52B0"/>
    <w:rsid w:val="007C57C0"/>
    <w:rsid w:val="007C6285"/>
    <w:rsid w:val="007C6606"/>
    <w:rsid w:val="007C6A47"/>
    <w:rsid w:val="007C725E"/>
    <w:rsid w:val="007D1359"/>
    <w:rsid w:val="007D2F84"/>
    <w:rsid w:val="007D4BF0"/>
    <w:rsid w:val="007D50BE"/>
    <w:rsid w:val="007D57CF"/>
    <w:rsid w:val="007D691F"/>
    <w:rsid w:val="007D71EB"/>
    <w:rsid w:val="007D75F1"/>
    <w:rsid w:val="007D782A"/>
    <w:rsid w:val="007E03FC"/>
    <w:rsid w:val="007E06BA"/>
    <w:rsid w:val="007E2ABE"/>
    <w:rsid w:val="007E3865"/>
    <w:rsid w:val="007E3936"/>
    <w:rsid w:val="007E51C7"/>
    <w:rsid w:val="007E618F"/>
    <w:rsid w:val="007E62CB"/>
    <w:rsid w:val="007E7CF6"/>
    <w:rsid w:val="007F0CDF"/>
    <w:rsid w:val="007F31A3"/>
    <w:rsid w:val="007F6178"/>
    <w:rsid w:val="007F6A20"/>
    <w:rsid w:val="0080062B"/>
    <w:rsid w:val="00802270"/>
    <w:rsid w:val="00802DEB"/>
    <w:rsid w:val="00802E7E"/>
    <w:rsid w:val="00803D65"/>
    <w:rsid w:val="008053F2"/>
    <w:rsid w:val="0080562E"/>
    <w:rsid w:val="008063C8"/>
    <w:rsid w:val="00806827"/>
    <w:rsid w:val="00806B19"/>
    <w:rsid w:val="0080712F"/>
    <w:rsid w:val="008074BA"/>
    <w:rsid w:val="00807A48"/>
    <w:rsid w:val="00811774"/>
    <w:rsid w:val="00812629"/>
    <w:rsid w:val="00813238"/>
    <w:rsid w:val="00813A72"/>
    <w:rsid w:val="00813AA3"/>
    <w:rsid w:val="00813CE5"/>
    <w:rsid w:val="0081540D"/>
    <w:rsid w:val="00815A6D"/>
    <w:rsid w:val="00816730"/>
    <w:rsid w:val="00817CEC"/>
    <w:rsid w:val="00820012"/>
    <w:rsid w:val="008201C2"/>
    <w:rsid w:val="008208E6"/>
    <w:rsid w:val="00820EE3"/>
    <w:rsid w:val="00822FAA"/>
    <w:rsid w:val="00823383"/>
    <w:rsid w:val="00825040"/>
    <w:rsid w:val="00825398"/>
    <w:rsid w:val="00826636"/>
    <w:rsid w:val="008306A1"/>
    <w:rsid w:val="0083244B"/>
    <w:rsid w:val="0083359C"/>
    <w:rsid w:val="008337AD"/>
    <w:rsid w:val="008337C8"/>
    <w:rsid w:val="00834E16"/>
    <w:rsid w:val="00834F57"/>
    <w:rsid w:val="0083614F"/>
    <w:rsid w:val="00837E78"/>
    <w:rsid w:val="00841850"/>
    <w:rsid w:val="0084251B"/>
    <w:rsid w:val="0084504E"/>
    <w:rsid w:val="008476BD"/>
    <w:rsid w:val="00847CA6"/>
    <w:rsid w:val="00850119"/>
    <w:rsid w:val="00853562"/>
    <w:rsid w:val="0085494F"/>
    <w:rsid w:val="008559A2"/>
    <w:rsid w:val="00857C43"/>
    <w:rsid w:val="00857CAD"/>
    <w:rsid w:val="00857D3F"/>
    <w:rsid w:val="008615AF"/>
    <w:rsid w:val="0086256E"/>
    <w:rsid w:val="008633C7"/>
    <w:rsid w:val="0086359F"/>
    <w:rsid w:val="008635B1"/>
    <w:rsid w:val="0086490F"/>
    <w:rsid w:val="0086542F"/>
    <w:rsid w:val="008659EC"/>
    <w:rsid w:val="00865CFF"/>
    <w:rsid w:val="0086628E"/>
    <w:rsid w:val="0086698D"/>
    <w:rsid w:val="008672CF"/>
    <w:rsid w:val="00867CB9"/>
    <w:rsid w:val="008705E9"/>
    <w:rsid w:val="00870FE0"/>
    <w:rsid w:val="008730C9"/>
    <w:rsid w:val="00873364"/>
    <w:rsid w:val="00873D8D"/>
    <w:rsid w:val="0087458A"/>
    <w:rsid w:val="00874786"/>
    <w:rsid w:val="00874E6F"/>
    <w:rsid w:val="00880E4D"/>
    <w:rsid w:val="00882AA9"/>
    <w:rsid w:val="0088448D"/>
    <w:rsid w:val="008867A5"/>
    <w:rsid w:val="00886F9A"/>
    <w:rsid w:val="00887878"/>
    <w:rsid w:val="008926E9"/>
    <w:rsid w:val="008929AA"/>
    <w:rsid w:val="008930C4"/>
    <w:rsid w:val="008944C0"/>
    <w:rsid w:val="00895161"/>
    <w:rsid w:val="00895532"/>
    <w:rsid w:val="008964BF"/>
    <w:rsid w:val="00897239"/>
    <w:rsid w:val="008A0130"/>
    <w:rsid w:val="008A01BA"/>
    <w:rsid w:val="008A0C3B"/>
    <w:rsid w:val="008A1147"/>
    <w:rsid w:val="008A2D5D"/>
    <w:rsid w:val="008A42EB"/>
    <w:rsid w:val="008A61BD"/>
    <w:rsid w:val="008A7233"/>
    <w:rsid w:val="008A72F2"/>
    <w:rsid w:val="008A7319"/>
    <w:rsid w:val="008A7A60"/>
    <w:rsid w:val="008B228A"/>
    <w:rsid w:val="008B34B8"/>
    <w:rsid w:val="008B3703"/>
    <w:rsid w:val="008B3EF1"/>
    <w:rsid w:val="008B3F62"/>
    <w:rsid w:val="008B4720"/>
    <w:rsid w:val="008B4AFB"/>
    <w:rsid w:val="008B5DA5"/>
    <w:rsid w:val="008B6558"/>
    <w:rsid w:val="008B7207"/>
    <w:rsid w:val="008C037C"/>
    <w:rsid w:val="008C0403"/>
    <w:rsid w:val="008C0FFF"/>
    <w:rsid w:val="008C2604"/>
    <w:rsid w:val="008C2B36"/>
    <w:rsid w:val="008C2CA6"/>
    <w:rsid w:val="008C4626"/>
    <w:rsid w:val="008C5F4A"/>
    <w:rsid w:val="008C6EE3"/>
    <w:rsid w:val="008C703F"/>
    <w:rsid w:val="008C7241"/>
    <w:rsid w:val="008C76DA"/>
    <w:rsid w:val="008D0B15"/>
    <w:rsid w:val="008D164E"/>
    <w:rsid w:val="008D198E"/>
    <w:rsid w:val="008D1A8E"/>
    <w:rsid w:val="008D1C8A"/>
    <w:rsid w:val="008D408E"/>
    <w:rsid w:val="008D4370"/>
    <w:rsid w:val="008D48C0"/>
    <w:rsid w:val="008D593F"/>
    <w:rsid w:val="008D7884"/>
    <w:rsid w:val="008E038E"/>
    <w:rsid w:val="008E076F"/>
    <w:rsid w:val="008E0C22"/>
    <w:rsid w:val="008E121A"/>
    <w:rsid w:val="008E1A99"/>
    <w:rsid w:val="008E22AD"/>
    <w:rsid w:val="008E2354"/>
    <w:rsid w:val="008E32D7"/>
    <w:rsid w:val="008E3785"/>
    <w:rsid w:val="008E4619"/>
    <w:rsid w:val="008E64CC"/>
    <w:rsid w:val="008F00BB"/>
    <w:rsid w:val="008F0DC1"/>
    <w:rsid w:val="008F14E6"/>
    <w:rsid w:val="008F258A"/>
    <w:rsid w:val="008F2E09"/>
    <w:rsid w:val="008F39EB"/>
    <w:rsid w:val="008F4156"/>
    <w:rsid w:val="008F4E40"/>
    <w:rsid w:val="008F5DFE"/>
    <w:rsid w:val="008F6A58"/>
    <w:rsid w:val="008F7047"/>
    <w:rsid w:val="009014A5"/>
    <w:rsid w:val="0090197C"/>
    <w:rsid w:val="00902B43"/>
    <w:rsid w:val="009033F4"/>
    <w:rsid w:val="00903B7E"/>
    <w:rsid w:val="00903EB1"/>
    <w:rsid w:val="00906A19"/>
    <w:rsid w:val="00907043"/>
    <w:rsid w:val="009114F1"/>
    <w:rsid w:val="009120F6"/>
    <w:rsid w:val="009135C9"/>
    <w:rsid w:val="00913F17"/>
    <w:rsid w:val="00914979"/>
    <w:rsid w:val="009165C4"/>
    <w:rsid w:val="00917F2E"/>
    <w:rsid w:val="00917F87"/>
    <w:rsid w:val="009226AF"/>
    <w:rsid w:val="00922AE5"/>
    <w:rsid w:val="00922AFF"/>
    <w:rsid w:val="009239F4"/>
    <w:rsid w:val="009252B0"/>
    <w:rsid w:val="0092595C"/>
    <w:rsid w:val="00925A8F"/>
    <w:rsid w:val="00926C33"/>
    <w:rsid w:val="00927734"/>
    <w:rsid w:val="00930F3F"/>
    <w:rsid w:val="00931AED"/>
    <w:rsid w:val="00932DEF"/>
    <w:rsid w:val="00933593"/>
    <w:rsid w:val="00935224"/>
    <w:rsid w:val="009353C9"/>
    <w:rsid w:val="00936810"/>
    <w:rsid w:val="00936F84"/>
    <w:rsid w:val="0093735A"/>
    <w:rsid w:val="009378AB"/>
    <w:rsid w:val="00940EE2"/>
    <w:rsid w:val="009411B4"/>
    <w:rsid w:val="00941212"/>
    <w:rsid w:val="009418AF"/>
    <w:rsid w:val="00941F8F"/>
    <w:rsid w:val="009427C7"/>
    <w:rsid w:val="00942A6F"/>
    <w:rsid w:val="009449CA"/>
    <w:rsid w:val="0094691F"/>
    <w:rsid w:val="00947B69"/>
    <w:rsid w:val="00950408"/>
    <w:rsid w:val="009505DE"/>
    <w:rsid w:val="00950D2C"/>
    <w:rsid w:val="00952303"/>
    <w:rsid w:val="009540FC"/>
    <w:rsid w:val="00954369"/>
    <w:rsid w:val="00957368"/>
    <w:rsid w:val="009574A6"/>
    <w:rsid w:val="00961011"/>
    <w:rsid w:val="00961D19"/>
    <w:rsid w:val="00961DBE"/>
    <w:rsid w:val="00962468"/>
    <w:rsid w:val="009629A9"/>
    <w:rsid w:val="00962AC5"/>
    <w:rsid w:val="009631B8"/>
    <w:rsid w:val="00963746"/>
    <w:rsid w:val="00965761"/>
    <w:rsid w:val="00965797"/>
    <w:rsid w:val="00965A71"/>
    <w:rsid w:val="009671B5"/>
    <w:rsid w:val="00970FE7"/>
    <w:rsid w:val="0097200D"/>
    <w:rsid w:val="00972157"/>
    <w:rsid w:val="00972536"/>
    <w:rsid w:val="00972A92"/>
    <w:rsid w:val="00972F8B"/>
    <w:rsid w:val="00973D98"/>
    <w:rsid w:val="0097694A"/>
    <w:rsid w:val="00977557"/>
    <w:rsid w:val="00980526"/>
    <w:rsid w:val="00980B7F"/>
    <w:rsid w:val="00981552"/>
    <w:rsid w:val="00981C07"/>
    <w:rsid w:val="009821E2"/>
    <w:rsid w:val="00983C06"/>
    <w:rsid w:val="0098402F"/>
    <w:rsid w:val="0098422D"/>
    <w:rsid w:val="00984B1D"/>
    <w:rsid w:val="00984F90"/>
    <w:rsid w:val="0098517A"/>
    <w:rsid w:val="0098581F"/>
    <w:rsid w:val="009859B0"/>
    <w:rsid w:val="0098675F"/>
    <w:rsid w:val="009879F0"/>
    <w:rsid w:val="00987E1F"/>
    <w:rsid w:val="00990482"/>
    <w:rsid w:val="00990A0F"/>
    <w:rsid w:val="00991D32"/>
    <w:rsid w:val="009928EE"/>
    <w:rsid w:val="00993690"/>
    <w:rsid w:val="0099449F"/>
    <w:rsid w:val="00994C4F"/>
    <w:rsid w:val="00996F39"/>
    <w:rsid w:val="009972EE"/>
    <w:rsid w:val="009A0060"/>
    <w:rsid w:val="009A1EA7"/>
    <w:rsid w:val="009A329D"/>
    <w:rsid w:val="009A3D04"/>
    <w:rsid w:val="009A3EED"/>
    <w:rsid w:val="009A58B8"/>
    <w:rsid w:val="009A5DB8"/>
    <w:rsid w:val="009A7623"/>
    <w:rsid w:val="009A78B8"/>
    <w:rsid w:val="009A7B56"/>
    <w:rsid w:val="009B03A1"/>
    <w:rsid w:val="009B1549"/>
    <w:rsid w:val="009B1601"/>
    <w:rsid w:val="009B18CD"/>
    <w:rsid w:val="009B24D2"/>
    <w:rsid w:val="009B47DD"/>
    <w:rsid w:val="009B5B00"/>
    <w:rsid w:val="009B5EAE"/>
    <w:rsid w:val="009C2467"/>
    <w:rsid w:val="009C2FE8"/>
    <w:rsid w:val="009C3737"/>
    <w:rsid w:val="009C458B"/>
    <w:rsid w:val="009C4ECB"/>
    <w:rsid w:val="009C5E04"/>
    <w:rsid w:val="009C63E8"/>
    <w:rsid w:val="009C7235"/>
    <w:rsid w:val="009C7535"/>
    <w:rsid w:val="009D0139"/>
    <w:rsid w:val="009D0CB6"/>
    <w:rsid w:val="009D10B1"/>
    <w:rsid w:val="009D1259"/>
    <w:rsid w:val="009D12CE"/>
    <w:rsid w:val="009D2195"/>
    <w:rsid w:val="009D2C15"/>
    <w:rsid w:val="009D2F2E"/>
    <w:rsid w:val="009D3B84"/>
    <w:rsid w:val="009D4E51"/>
    <w:rsid w:val="009D6732"/>
    <w:rsid w:val="009D6CEE"/>
    <w:rsid w:val="009D74F7"/>
    <w:rsid w:val="009E02C4"/>
    <w:rsid w:val="009E0601"/>
    <w:rsid w:val="009E1403"/>
    <w:rsid w:val="009E2322"/>
    <w:rsid w:val="009E2C58"/>
    <w:rsid w:val="009E372E"/>
    <w:rsid w:val="009E408A"/>
    <w:rsid w:val="009E5096"/>
    <w:rsid w:val="009E53C9"/>
    <w:rsid w:val="009E5BF4"/>
    <w:rsid w:val="009E6E95"/>
    <w:rsid w:val="009E7B76"/>
    <w:rsid w:val="009F020B"/>
    <w:rsid w:val="009F0D16"/>
    <w:rsid w:val="009F1B75"/>
    <w:rsid w:val="009F3504"/>
    <w:rsid w:val="009F3A4B"/>
    <w:rsid w:val="009F3CB7"/>
    <w:rsid w:val="009F42BA"/>
    <w:rsid w:val="009F4DD8"/>
    <w:rsid w:val="009F4F30"/>
    <w:rsid w:val="009F5CDC"/>
    <w:rsid w:val="009F5E0B"/>
    <w:rsid w:val="009F6E3B"/>
    <w:rsid w:val="009F7358"/>
    <w:rsid w:val="00A003A3"/>
    <w:rsid w:val="00A01AEC"/>
    <w:rsid w:val="00A03F4F"/>
    <w:rsid w:val="00A042A9"/>
    <w:rsid w:val="00A05AFA"/>
    <w:rsid w:val="00A05B08"/>
    <w:rsid w:val="00A064F5"/>
    <w:rsid w:val="00A0713B"/>
    <w:rsid w:val="00A076F3"/>
    <w:rsid w:val="00A10054"/>
    <w:rsid w:val="00A102EC"/>
    <w:rsid w:val="00A10791"/>
    <w:rsid w:val="00A11B54"/>
    <w:rsid w:val="00A12FB0"/>
    <w:rsid w:val="00A13251"/>
    <w:rsid w:val="00A152A0"/>
    <w:rsid w:val="00A163A4"/>
    <w:rsid w:val="00A208A8"/>
    <w:rsid w:val="00A20A36"/>
    <w:rsid w:val="00A21B82"/>
    <w:rsid w:val="00A23735"/>
    <w:rsid w:val="00A2454B"/>
    <w:rsid w:val="00A2568B"/>
    <w:rsid w:val="00A26EB9"/>
    <w:rsid w:val="00A2734D"/>
    <w:rsid w:val="00A30FDF"/>
    <w:rsid w:val="00A31794"/>
    <w:rsid w:val="00A31F77"/>
    <w:rsid w:val="00A34688"/>
    <w:rsid w:val="00A36347"/>
    <w:rsid w:val="00A36F59"/>
    <w:rsid w:val="00A411A2"/>
    <w:rsid w:val="00A41EAE"/>
    <w:rsid w:val="00A42288"/>
    <w:rsid w:val="00A429DD"/>
    <w:rsid w:val="00A442FF"/>
    <w:rsid w:val="00A46F78"/>
    <w:rsid w:val="00A46FD2"/>
    <w:rsid w:val="00A47085"/>
    <w:rsid w:val="00A47D50"/>
    <w:rsid w:val="00A5015E"/>
    <w:rsid w:val="00A509F9"/>
    <w:rsid w:val="00A528BB"/>
    <w:rsid w:val="00A52B47"/>
    <w:rsid w:val="00A53114"/>
    <w:rsid w:val="00A5427E"/>
    <w:rsid w:val="00A54598"/>
    <w:rsid w:val="00A54E7A"/>
    <w:rsid w:val="00A55DFC"/>
    <w:rsid w:val="00A5660E"/>
    <w:rsid w:val="00A579E0"/>
    <w:rsid w:val="00A57C26"/>
    <w:rsid w:val="00A57C37"/>
    <w:rsid w:val="00A60E71"/>
    <w:rsid w:val="00A62CF2"/>
    <w:rsid w:val="00A646BB"/>
    <w:rsid w:val="00A6640D"/>
    <w:rsid w:val="00A66CD1"/>
    <w:rsid w:val="00A703C5"/>
    <w:rsid w:val="00A70587"/>
    <w:rsid w:val="00A70D4C"/>
    <w:rsid w:val="00A7131D"/>
    <w:rsid w:val="00A72762"/>
    <w:rsid w:val="00A739C4"/>
    <w:rsid w:val="00A73A89"/>
    <w:rsid w:val="00A74720"/>
    <w:rsid w:val="00A74A96"/>
    <w:rsid w:val="00A764E3"/>
    <w:rsid w:val="00A76F6E"/>
    <w:rsid w:val="00A77241"/>
    <w:rsid w:val="00A775CF"/>
    <w:rsid w:val="00A80027"/>
    <w:rsid w:val="00A80420"/>
    <w:rsid w:val="00A836B0"/>
    <w:rsid w:val="00A840E9"/>
    <w:rsid w:val="00A84B15"/>
    <w:rsid w:val="00A85DC5"/>
    <w:rsid w:val="00A8621C"/>
    <w:rsid w:val="00A8775F"/>
    <w:rsid w:val="00A94601"/>
    <w:rsid w:val="00A95776"/>
    <w:rsid w:val="00A95891"/>
    <w:rsid w:val="00A9667B"/>
    <w:rsid w:val="00A96E48"/>
    <w:rsid w:val="00A9721C"/>
    <w:rsid w:val="00AA2C49"/>
    <w:rsid w:val="00AA338A"/>
    <w:rsid w:val="00AA3B66"/>
    <w:rsid w:val="00AA45A0"/>
    <w:rsid w:val="00AA45CB"/>
    <w:rsid w:val="00AA63B5"/>
    <w:rsid w:val="00AB22C6"/>
    <w:rsid w:val="00AB23A5"/>
    <w:rsid w:val="00AB2EE8"/>
    <w:rsid w:val="00AB431B"/>
    <w:rsid w:val="00AB5971"/>
    <w:rsid w:val="00AB5CB1"/>
    <w:rsid w:val="00AB5CD5"/>
    <w:rsid w:val="00AB5F1E"/>
    <w:rsid w:val="00AB667B"/>
    <w:rsid w:val="00AB67F0"/>
    <w:rsid w:val="00AC0292"/>
    <w:rsid w:val="00AC07EA"/>
    <w:rsid w:val="00AC08F9"/>
    <w:rsid w:val="00AC1359"/>
    <w:rsid w:val="00AC1A30"/>
    <w:rsid w:val="00AC29A0"/>
    <w:rsid w:val="00AC2E1E"/>
    <w:rsid w:val="00AC396C"/>
    <w:rsid w:val="00AC4136"/>
    <w:rsid w:val="00AC41F9"/>
    <w:rsid w:val="00AC4236"/>
    <w:rsid w:val="00AC4473"/>
    <w:rsid w:val="00AC7BF8"/>
    <w:rsid w:val="00AC7C43"/>
    <w:rsid w:val="00AD03F4"/>
    <w:rsid w:val="00AD0662"/>
    <w:rsid w:val="00AD1925"/>
    <w:rsid w:val="00AD1B5B"/>
    <w:rsid w:val="00AD2DF9"/>
    <w:rsid w:val="00AD34C3"/>
    <w:rsid w:val="00AD4142"/>
    <w:rsid w:val="00AD4989"/>
    <w:rsid w:val="00AD51DE"/>
    <w:rsid w:val="00AD5BD3"/>
    <w:rsid w:val="00AE0E30"/>
    <w:rsid w:val="00AE3DBD"/>
    <w:rsid w:val="00AE4EAC"/>
    <w:rsid w:val="00AE6693"/>
    <w:rsid w:val="00AE7744"/>
    <w:rsid w:val="00AE7AFF"/>
    <w:rsid w:val="00AF1122"/>
    <w:rsid w:val="00AF1B40"/>
    <w:rsid w:val="00AF388B"/>
    <w:rsid w:val="00AF3F79"/>
    <w:rsid w:val="00AF402B"/>
    <w:rsid w:val="00AF447A"/>
    <w:rsid w:val="00B01EB7"/>
    <w:rsid w:val="00B032B5"/>
    <w:rsid w:val="00B044A8"/>
    <w:rsid w:val="00B04E73"/>
    <w:rsid w:val="00B06045"/>
    <w:rsid w:val="00B068A5"/>
    <w:rsid w:val="00B0693A"/>
    <w:rsid w:val="00B06E52"/>
    <w:rsid w:val="00B078F0"/>
    <w:rsid w:val="00B07E32"/>
    <w:rsid w:val="00B10254"/>
    <w:rsid w:val="00B1064D"/>
    <w:rsid w:val="00B10839"/>
    <w:rsid w:val="00B11D45"/>
    <w:rsid w:val="00B12A17"/>
    <w:rsid w:val="00B12F46"/>
    <w:rsid w:val="00B13195"/>
    <w:rsid w:val="00B13355"/>
    <w:rsid w:val="00B143BF"/>
    <w:rsid w:val="00B148FC"/>
    <w:rsid w:val="00B15066"/>
    <w:rsid w:val="00B161BE"/>
    <w:rsid w:val="00B17234"/>
    <w:rsid w:val="00B176F4"/>
    <w:rsid w:val="00B21219"/>
    <w:rsid w:val="00B214BF"/>
    <w:rsid w:val="00B2206A"/>
    <w:rsid w:val="00B24CC2"/>
    <w:rsid w:val="00B258F8"/>
    <w:rsid w:val="00B26EC7"/>
    <w:rsid w:val="00B27C1A"/>
    <w:rsid w:val="00B30395"/>
    <w:rsid w:val="00B31609"/>
    <w:rsid w:val="00B32981"/>
    <w:rsid w:val="00B32AD1"/>
    <w:rsid w:val="00B32D57"/>
    <w:rsid w:val="00B338F7"/>
    <w:rsid w:val="00B33EA5"/>
    <w:rsid w:val="00B3492A"/>
    <w:rsid w:val="00B34942"/>
    <w:rsid w:val="00B349F0"/>
    <w:rsid w:val="00B34D73"/>
    <w:rsid w:val="00B35591"/>
    <w:rsid w:val="00B3642A"/>
    <w:rsid w:val="00B366A1"/>
    <w:rsid w:val="00B37386"/>
    <w:rsid w:val="00B40E9A"/>
    <w:rsid w:val="00B41504"/>
    <w:rsid w:val="00B42592"/>
    <w:rsid w:val="00B430BB"/>
    <w:rsid w:val="00B44877"/>
    <w:rsid w:val="00B44E0A"/>
    <w:rsid w:val="00B45D1A"/>
    <w:rsid w:val="00B46080"/>
    <w:rsid w:val="00B46CFA"/>
    <w:rsid w:val="00B500E2"/>
    <w:rsid w:val="00B52268"/>
    <w:rsid w:val="00B52B24"/>
    <w:rsid w:val="00B52BBC"/>
    <w:rsid w:val="00B5443E"/>
    <w:rsid w:val="00B54AEC"/>
    <w:rsid w:val="00B54F5A"/>
    <w:rsid w:val="00B56563"/>
    <w:rsid w:val="00B57780"/>
    <w:rsid w:val="00B578E1"/>
    <w:rsid w:val="00B6093B"/>
    <w:rsid w:val="00B60C75"/>
    <w:rsid w:val="00B60F04"/>
    <w:rsid w:val="00B61AF1"/>
    <w:rsid w:val="00B62B71"/>
    <w:rsid w:val="00B635A8"/>
    <w:rsid w:val="00B63797"/>
    <w:rsid w:val="00B64B2C"/>
    <w:rsid w:val="00B666B2"/>
    <w:rsid w:val="00B667F7"/>
    <w:rsid w:val="00B70EBF"/>
    <w:rsid w:val="00B70F4D"/>
    <w:rsid w:val="00B73703"/>
    <w:rsid w:val="00B74205"/>
    <w:rsid w:val="00B7577F"/>
    <w:rsid w:val="00B76EB4"/>
    <w:rsid w:val="00B77E85"/>
    <w:rsid w:val="00B8164F"/>
    <w:rsid w:val="00B8275A"/>
    <w:rsid w:val="00B83127"/>
    <w:rsid w:val="00B83933"/>
    <w:rsid w:val="00B85752"/>
    <w:rsid w:val="00B85FAD"/>
    <w:rsid w:val="00B869BA"/>
    <w:rsid w:val="00B87B8D"/>
    <w:rsid w:val="00B9014C"/>
    <w:rsid w:val="00B91B20"/>
    <w:rsid w:val="00B9365D"/>
    <w:rsid w:val="00B94617"/>
    <w:rsid w:val="00B947D8"/>
    <w:rsid w:val="00B94AB8"/>
    <w:rsid w:val="00B9578A"/>
    <w:rsid w:val="00B967BF"/>
    <w:rsid w:val="00BA0000"/>
    <w:rsid w:val="00BA1F42"/>
    <w:rsid w:val="00BA5F3C"/>
    <w:rsid w:val="00BA69CF"/>
    <w:rsid w:val="00BB0154"/>
    <w:rsid w:val="00BB038B"/>
    <w:rsid w:val="00BB0F3A"/>
    <w:rsid w:val="00BB173A"/>
    <w:rsid w:val="00BB17AE"/>
    <w:rsid w:val="00BB18B3"/>
    <w:rsid w:val="00BB2BE6"/>
    <w:rsid w:val="00BB2FAF"/>
    <w:rsid w:val="00BB384E"/>
    <w:rsid w:val="00BB3DDE"/>
    <w:rsid w:val="00BB42CF"/>
    <w:rsid w:val="00BB4457"/>
    <w:rsid w:val="00BB46BE"/>
    <w:rsid w:val="00BB50D4"/>
    <w:rsid w:val="00BB524A"/>
    <w:rsid w:val="00BB525A"/>
    <w:rsid w:val="00BB6CB7"/>
    <w:rsid w:val="00BB6EBF"/>
    <w:rsid w:val="00BB7484"/>
    <w:rsid w:val="00BC06B3"/>
    <w:rsid w:val="00BC2726"/>
    <w:rsid w:val="00BC51F1"/>
    <w:rsid w:val="00BC58D4"/>
    <w:rsid w:val="00BC62C0"/>
    <w:rsid w:val="00BC7B6D"/>
    <w:rsid w:val="00BD0042"/>
    <w:rsid w:val="00BD1014"/>
    <w:rsid w:val="00BD178A"/>
    <w:rsid w:val="00BD194B"/>
    <w:rsid w:val="00BD219F"/>
    <w:rsid w:val="00BD284F"/>
    <w:rsid w:val="00BD2F89"/>
    <w:rsid w:val="00BD34D2"/>
    <w:rsid w:val="00BD37EB"/>
    <w:rsid w:val="00BD5565"/>
    <w:rsid w:val="00BD69A0"/>
    <w:rsid w:val="00BD6E40"/>
    <w:rsid w:val="00BD78C5"/>
    <w:rsid w:val="00BE0068"/>
    <w:rsid w:val="00BE2022"/>
    <w:rsid w:val="00BE295E"/>
    <w:rsid w:val="00BE2A43"/>
    <w:rsid w:val="00BE33F2"/>
    <w:rsid w:val="00BE4194"/>
    <w:rsid w:val="00BE5CDC"/>
    <w:rsid w:val="00BE7E35"/>
    <w:rsid w:val="00BF1933"/>
    <w:rsid w:val="00BF28F8"/>
    <w:rsid w:val="00BF49E6"/>
    <w:rsid w:val="00BF4E4E"/>
    <w:rsid w:val="00BF529B"/>
    <w:rsid w:val="00BF5F94"/>
    <w:rsid w:val="00BF6C32"/>
    <w:rsid w:val="00C002AE"/>
    <w:rsid w:val="00C00C43"/>
    <w:rsid w:val="00C019CC"/>
    <w:rsid w:val="00C02DFC"/>
    <w:rsid w:val="00C07DD9"/>
    <w:rsid w:val="00C1262D"/>
    <w:rsid w:val="00C129FE"/>
    <w:rsid w:val="00C13E20"/>
    <w:rsid w:val="00C14409"/>
    <w:rsid w:val="00C1523C"/>
    <w:rsid w:val="00C158E7"/>
    <w:rsid w:val="00C16565"/>
    <w:rsid w:val="00C207BB"/>
    <w:rsid w:val="00C21D40"/>
    <w:rsid w:val="00C2263A"/>
    <w:rsid w:val="00C22B6B"/>
    <w:rsid w:val="00C236FE"/>
    <w:rsid w:val="00C25D5B"/>
    <w:rsid w:val="00C3058F"/>
    <w:rsid w:val="00C30BD4"/>
    <w:rsid w:val="00C310F0"/>
    <w:rsid w:val="00C31523"/>
    <w:rsid w:val="00C316E0"/>
    <w:rsid w:val="00C33AEE"/>
    <w:rsid w:val="00C34610"/>
    <w:rsid w:val="00C35A27"/>
    <w:rsid w:val="00C36432"/>
    <w:rsid w:val="00C374A8"/>
    <w:rsid w:val="00C37F88"/>
    <w:rsid w:val="00C40D05"/>
    <w:rsid w:val="00C42DA6"/>
    <w:rsid w:val="00C43F1B"/>
    <w:rsid w:val="00C44870"/>
    <w:rsid w:val="00C463AA"/>
    <w:rsid w:val="00C46808"/>
    <w:rsid w:val="00C46F0F"/>
    <w:rsid w:val="00C474F6"/>
    <w:rsid w:val="00C47586"/>
    <w:rsid w:val="00C475CE"/>
    <w:rsid w:val="00C47DCF"/>
    <w:rsid w:val="00C47EAA"/>
    <w:rsid w:val="00C511A0"/>
    <w:rsid w:val="00C51EEB"/>
    <w:rsid w:val="00C52D9C"/>
    <w:rsid w:val="00C5461D"/>
    <w:rsid w:val="00C54D3C"/>
    <w:rsid w:val="00C54F17"/>
    <w:rsid w:val="00C5556E"/>
    <w:rsid w:val="00C5582F"/>
    <w:rsid w:val="00C574D7"/>
    <w:rsid w:val="00C6014C"/>
    <w:rsid w:val="00C6100A"/>
    <w:rsid w:val="00C6280E"/>
    <w:rsid w:val="00C62A37"/>
    <w:rsid w:val="00C63696"/>
    <w:rsid w:val="00C63FE3"/>
    <w:rsid w:val="00C65A6D"/>
    <w:rsid w:val="00C67511"/>
    <w:rsid w:val="00C675A6"/>
    <w:rsid w:val="00C67E97"/>
    <w:rsid w:val="00C705C1"/>
    <w:rsid w:val="00C70E52"/>
    <w:rsid w:val="00C714CD"/>
    <w:rsid w:val="00C74321"/>
    <w:rsid w:val="00C743CA"/>
    <w:rsid w:val="00C74BB9"/>
    <w:rsid w:val="00C75F64"/>
    <w:rsid w:val="00C76137"/>
    <w:rsid w:val="00C77893"/>
    <w:rsid w:val="00C83224"/>
    <w:rsid w:val="00C84145"/>
    <w:rsid w:val="00C84BCA"/>
    <w:rsid w:val="00C85986"/>
    <w:rsid w:val="00C8639E"/>
    <w:rsid w:val="00C865AB"/>
    <w:rsid w:val="00C86B4E"/>
    <w:rsid w:val="00C879A9"/>
    <w:rsid w:val="00C87DC6"/>
    <w:rsid w:val="00C9007B"/>
    <w:rsid w:val="00C90324"/>
    <w:rsid w:val="00C904E4"/>
    <w:rsid w:val="00C90D03"/>
    <w:rsid w:val="00C914B2"/>
    <w:rsid w:val="00C931FA"/>
    <w:rsid w:val="00C932B6"/>
    <w:rsid w:val="00C94A92"/>
    <w:rsid w:val="00C94F08"/>
    <w:rsid w:val="00C9500C"/>
    <w:rsid w:val="00C96216"/>
    <w:rsid w:val="00C96C0E"/>
    <w:rsid w:val="00CA03E5"/>
    <w:rsid w:val="00CA03F6"/>
    <w:rsid w:val="00CA0B65"/>
    <w:rsid w:val="00CA1045"/>
    <w:rsid w:val="00CA1782"/>
    <w:rsid w:val="00CA1916"/>
    <w:rsid w:val="00CA1EC7"/>
    <w:rsid w:val="00CA4475"/>
    <w:rsid w:val="00CA4564"/>
    <w:rsid w:val="00CA559D"/>
    <w:rsid w:val="00CA5DBF"/>
    <w:rsid w:val="00CB1078"/>
    <w:rsid w:val="00CB1C87"/>
    <w:rsid w:val="00CB244C"/>
    <w:rsid w:val="00CB30F1"/>
    <w:rsid w:val="00CB3248"/>
    <w:rsid w:val="00CB576C"/>
    <w:rsid w:val="00CB6C9C"/>
    <w:rsid w:val="00CC3AB5"/>
    <w:rsid w:val="00CC5E9B"/>
    <w:rsid w:val="00CC6638"/>
    <w:rsid w:val="00CC79B0"/>
    <w:rsid w:val="00CD2295"/>
    <w:rsid w:val="00CD23F8"/>
    <w:rsid w:val="00CD2795"/>
    <w:rsid w:val="00CD43E2"/>
    <w:rsid w:val="00CD6819"/>
    <w:rsid w:val="00CE013D"/>
    <w:rsid w:val="00CE04E1"/>
    <w:rsid w:val="00CE122A"/>
    <w:rsid w:val="00CE1AEB"/>
    <w:rsid w:val="00CE45B5"/>
    <w:rsid w:val="00CE4D9C"/>
    <w:rsid w:val="00CE4FDC"/>
    <w:rsid w:val="00CE6E85"/>
    <w:rsid w:val="00CE7C42"/>
    <w:rsid w:val="00CE7D9A"/>
    <w:rsid w:val="00CF3C90"/>
    <w:rsid w:val="00CF3DFF"/>
    <w:rsid w:val="00D01226"/>
    <w:rsid w:val="00D01229"/>
    <w:rsid w:val="00D025B7"/>
    <w:rsid w:val="00D03827"/>
    <w:rsid w:val="00D03AB6"/>
    <w:rsid w:val="00D042BC"/>
    <w:rsid w:val="00D048A6"/>
    <w:rsid w:val="00D0542D"/>
    <w:rsid w:val="00D0547D"/>
    <w:rsid w:val="00D06121"/>
    <w:rsid w:val="00D06F37"/>
    <w:rsid w:val="00D07F88"/>
    <w:rsid w:val="00D11521"/>
    <w:rsid w:val="00D11936"/>
    <w:rsid w:val="00D123F7"/>
    <w:rsid w:val="00D12F91"/>
    <w:rsid w:val="00D13AED"/>
    <w:rsid w:val="00D14E8C"/>
    <w:rsid w:val="00D14F67"/>
    <w:rsid w:val="00D15130"/>
    <w:rsid w:val="00D15EB4"/>
    <w:rsid w:val="00D212CF"/>
    <w:rsid w:val="00D21D67"/>
    <w:rsid w:val="00D22043"/>
    <w:rsid w:val="00D23273"/>
    <w:rsid w:val="00D238CE"/>
    <w:rsid w:val="00D247C6"/>
    <w:rsid w:val="00D26C34"/>
    <w:rsid w:val="00D26F1D"/>
    <w:rsid w:val="00D27B4A"/>
    <w:rsid w:val="00D3047D"/>
    <w:rsid w:val="00D30B84"/>
    <w:rsid w:val="00D32649"/>
    <w:rsid w:val="00D345A9"/>
    <w:rsid w:val="00D34954"/>
    <w:rsid w:val="00D35B53"/>
    <w:rsid w:val="00D35C82"/>
    <w:rsid w:val="00D37507"/>
    <w:rsid w:val="00D40D66"/>
    <w:rsid w:val="00D410F2"/>
    <w:rsid w:val="00D4118F"/>
    <w:rsid w:val="00D4190B"/>
    <w:rsid w:val="00D4228A"/>
    <w:rsid w:val="00D4345A"/>
    <w:rsid w:val="00D437E6"/>
    <w:rsid w:val="00D43E24"/>
    <w:rsid w:val="00D44EE1"/>
    <w:rsid w:val="00D452C0"/>
    <w:rsid w:val="00D46348"/>
    <w:rsid w:val="00D47345"/>
    <w:rsid w:val="00D476DA"/>
    <w:rsid w:val="00D476FF"/>
    <w:rsid w:val="00D47887"/>
    <w:rsid w:val="00D51153"/>
    <w:rsid w:val="00D54F06"/>
    <w:rsid w:val="00D56C9A"/>
    <w:rsid w:val="00D57897"/>
    <w:rsid w:val="00D57FF7"/>
    <w:rsid w:val="00D60734"/>
    <w:rsid w:val="00D60CD5"/>
    <w:rsid w:val="00D631E6"/>
    <w:rsid w:val="00D64620"/>
    <w:rsid w:val="00D66922"/>
    <w:rsid w:val="00D70321"/>
    <w:rsid w:val="00D71368"/>
    <w:rsid w:val="00D72D0D"/>
    <w:rsid w:val="00D73D0B"/>
    <w:rsid w:val="00D7493E"/>
    <w:rsid w:val="00D74BC3"/>
    <w:rsid w:val="00D773FD"/>
    <w:rsid w:val="00D775D0"/>
    <w:rsid w:val="00D80172"/>
    <w:rsid w:val="00D80B5A"/>
    <w:rsid w:val="00D81393"/>
    <w:rsid w:val="00D824C5"/>
    <w:rsid w:val="00D82D79"/>
    <w:rsid w:val="00D830D1"/>
    <w:rsid w:val="00D83548"/>
    <w:rsid w:val="00D845F1"/>
    <w:rsid w:val="00D84C94"/>
    <w:rsid w:val="00D8534D"/>
    <w:rsid w:val="00D85DF1"/>
    <w:rsid w:val="00D86B8A"/>
    <w:rsid w:val="00D879AB"/>
    <w:rsid w:val="00D9091D"/>
    <w:rsid w:val="00D90E08"/>
    <w:rsid w:val="00D91CEF"/>
    <w:rsid w:val="00D927E2"/>
    <w:rsid w:val="00D92C02"/>
    <w:rsid w:val="00D9381D"/>
    <w:rsid w:val="00D94F9B"/>
    <w:rsid w:val="00D957A3"/>
    <w:rsid w:val="00D9639E"/>
    <w:rsid w:val="00DA35C2"/>
    <w:rsid w:val="00DA3F81"/>
    <w:rsid w:val="00DA4569"/>
    <w:rsid w:val="00DA487F"/>
    <w:rsid w:val="00DA658B"/>
    <w:rsid w:val="00DB0985"/>
    <w:rsid w:val="00DB1FCA"/>
    <w:rsid w:val="00DB21B5"/>
    <w:rsid w:val="00DB220C"/>
    <w:rsid w:val="00DB5643"/>
    <w:rsid w:val="00DB6746"/>
    <w:rsid w:val="00DB6B5A"/>
    <w:rsid w:val="00DB74CA"/>
    <w:rsid w:val="00DC065C"/>
    <w:rsid w:val="00DC1053"/>
    <w:rsid w:val="00DC1BC2"/>
    <w:rsid w:val="00DC1FD5"/>
    <w:rsid w:val="00DC260F"/>
    <w:rsid w:val="00DC2AD8"/>
    <w:rsid w:val="00DC4167"/>
    <w:rsid w:val="00DC4672"/>
    <w:rsid w:val="00DC485D"/>
    <w:rsid w:val="00DC5C7D"/>
    <w:rsid w:val="00DC66AF"/>
    <w:rsid w:val="00DC6D0D"/>
    <w:rsid w:val="00DC74EA"/>
    <w:rsid w:val="00DD168A"/>
    <w:rsid w:val="00DD16E9"/>
    <w:rsid w:val="00DD3685"/>
    <w:rsid w:val="00DD3EE4"/>
    <w:rsid w:val="00DD42C3"/>
    <w:rsid w:val="00DD5D48"/>
    <w:rsid w:val="00DD668A"/>
    <w:rsid w:val="00DD69F4"/>
    <w:rsid w:val="00DD7FCB"/>
    <w:rsid w:val="00DE081C"/>
    <w:rsid w:val="00DE0DF2"/>
    <w:rsid w:val="00DE152C"/>
    <w:rsid w:val="00DE3CF6"/>
    <w:rsid w:val="00DE4F1C"/>
    <w:rsid w:val="00DE572B"/>
    <w:rsid w:val="00DE7901"/>
    <w:rsid w:val="00DF0083"/>
    <w:rsid w:val="00DF09C4"/>
    <w:rsid w:val="00DF1D96"/>
    <w:rsid w:val="00DF1F46"/>
    <w:rsid w:val="00DF249D"/>
    <w:rsid w:val="00DF5059"/>
    <w:rsid w:val="00DF5D19"/>
    <w:rsid w:val="00DF63A7"/>
    <w:rsid w:val="00DF748E"/>
    <w:rsid w:val="00DF752D"/>
    <w:rsid w:val="00DF7616"/>
    <w:rsid w:val="00DF7BC7"/>
    <w:rsid w:val="00DF7CD9"/>
    <w:rsid w:val="00E00097"/>
    <w:rsid w:val="00E00441"/>
    <w:rsid w:val="00E02C2B"/>
    <w:rsid w:val="00E03FFF"/>
    <w:rsid w:val="00E069DB"/>
    <w:rsid w:val="00E06A14"/>
    <w:rsid w:val="00E070E0"/>
    <w:rsid w:val="00E11A77"/>
    <w:rsid w:val="00E1203F"/>
    <w:rsid w:val="00E14E38"/>
    <w:rsid w:val="00E15475"/>
    <w:rsid w:val="00E1622D"/>
    <w:rsid w:val="00E16CAB"/>
    <w:rsid w:val="00E16F89"/>
    <w:rsid w:val="00E17078"/>
    <w:rsid w:val="00E170AD"/>
    <w:rsid w:val="00E17703"/>
    <w:rsid w:val="00E17D7D"/>
    <w:rsid w:val="00E21E21"/>
    <w:rsid w:val="00E23258"/>
    <w:rsid w:val="00E25340"/>
    <w:rsid w:val="00E256B8"/>
    <w:rsid w:val="00E26713"/>
    <w:rsid w:val="00E279DD"/>
    <w:rsid w:val="00E30884"/>
    <w:rsid w:val="00E319F0"/>
    <w:rsid w:val="00E326EA"/>
    <w:rsid w:val="00E334E5"/>
    <w:rsid w:val="00E358BE"/>
    <w:rsid w:val="00E35F70"/>
    <w:rsid w:val="00E4128D"/>
    <w:rsid w:val="00E418D4"/>
    <w:rsid w:val="00E41B0E"/>
    <w:rsid w:val="00E42049"/>
    <w:rsid w:val="00E43785"/>
    <w:rsid w:val="00E44885"/>
    <w:rsid w:val="00E44AA8"/>
    <w:rsid w:val="00E44D6F"/>
    <w:rsid w:val="00E452A8"/>
    <w:rsid w:val="00E4567A"/>
    <w:rsid w:val="00E46B56"/>
    <w:rsid w:val="00E46E03"/>
    <w:rsid w:val="00E5003A"/>
    <w:rsid w:val="00E500FD"/>
    <w:rsid w:val="00E508C3"/>
    <w:rsid w:val="00E50E6C"/>
    <w:rsid w:val="00E52D33"/>
    <w:rsid w:val="00E54B03"/>
    <w:rsid w:val="00E55D77"/>
    <w:rsid w:val="00E5618F"/>
    <w:rsid w:val="00E6183A"/>
    <w:rsid w:val="00E618D4"/>
    <w:rsid w:val="00E62FD8"/>
    <w:rsid w:val="00E643A8"/>
    <w:rsid w:val="00E64FBD"/>
    <w:rsid w:val="00E65E2E"/>
    <w:rsid w:val="00E67690"/>
    <w:rsid w:val="00E67C52"/>
    <w:rsid w:val="00E70252"/>
    <w:rsid w:val="00E71963"/>
    <w:rsid w:val="00E7249C"/>
    <w:rsid w:val="00E72B55"/>
    <w:rsid w:val="00E72B83"/>
    <w:rsid w:val="00E73B11"/>
    <w:rsid w:val="00E7512B"/>
    <w:rsid w:val="00E757E0"/>
    <w:rsid w:val="00E768B6"/>
    <w:rsid w:val="00E81B6A"/>
    <w:rsid w:val="00E81E60"/>
    <w:rsid w:val="00E82786"/>
    <w:rsid w:val="00E82F07"/>
    <w:rsid w:val="00E847BC"/>
    <w:rsid w:val="00E8480C"/>
    <w:rsid w:val="00E84E41"/>
    <w:rsid w:val="00E84FFF"/>
    <w:rsid w:val="00E8522B"/>
    <w:rsid w:val="00E86140"/>
    <w:rsid w:val="00E8622F"/>
    <w:rsid w:val="00E86A26"/>
    <w:rsid w:val="00E86ECA"/>
    <w:rsid w:val="00E87BCA"/>
    <w:rsid w:val="00E903DC"/>
    <w:rsid w:val="00E92965"/>
    <w:rsid w:val="00E93BC0"/>
    <w:rsid w:val="00E95247"/>
    <w:rsid w:val="00E964E3"/>
    <w:rsid w:val="00E973BE"/>
    <w:rsid w:val="00E979B9"/>
    <w:rsid w:val="00E979C1"/>
    <w:rsid w:val="00E97ECD"/>
    <w:rsid w:val="00EA183E"/>
    <w:rsid w:val="00EA1EF7"/>
    <w:rsid w:val="00EA2E02"/>
    <w:rsid w:val="00EA446A"/>
    <w:rsid w:val="00EA452E"/>
    <w:rsid w:val="00EA46C2"/>
    <w:rsid w:val="00EA5865"/>
    <w:rsid w:val="00EA69A3"/>
    <w:rsid w:val="00EA6B8B"/>
    <w:rsid w:val="00EA6F3F"/>
    <w:rsid w:val="00EB0C22"/>
    <w:rsid w:val="00EB0F8F"/>
    <w:rsid w:val="00EB2A46"/>
    <w:rsid w:val="00EB2C6C"/>
    <w:rsid w:val="00EB61E2"/>
    <w:rsid w:val="00EB67A9"/>
    <w:rsid w:val="00EC0862"/>
    <w:rsid w:val="00EC1C84"/>
    <w:rsid w:val="00EC2959"/>
    <w:rsid w:val="00EC41AD"/>
    <w:rsid w:val="00EC680E"/>
    <w:rsid w:val="00EC6D7A"/>
    <w:rsid w:val="00EC7206"/>
    <w:rsid w:val="00ED06CB"/>
    <w:rsid w:val="00ED1665"/>
    <w:rsid w:val="00ED1E71"/>
    <w:rsid w:val="00ED45C8"/>
    <w:rsid w:val="00ED4F63"/>
    <w:rsid w:val="00ED604A"/>
    <w:rsid w:val="00ED6C48"/>
    <w:rsid w:val="00ED7C13"/>
    <w:rsid w:val="00ED7E61"/>
    <w:rsid w:val="00EE0CC3"/>
    <w:rsid w:val="00EE0DD1"/>
    <w:rsid w:val="00EE10B2"/>
    <w:rsid w:val="00EE17E8"/>
    <w:rsid w:val="00EE1C7A"/>
    <w:rsid w:val="00EE29F8"/>
    <w:rsid w:val="00EE3301"/>
    <w:rsid w:val="00EE3509"/>
    <w:rsid w:val="00EE7066"/>
    <w:rsid w:val="00EE70D0"/>
    <w:rsid w:val="00EF0209"/>
    <w:rsid w:val="00EF0219"/>
    <w:rsid w:val="00EF029E"/>
    <w:rsid w:val="00EF3D4D"/>
    <w:rsid w:val="00EF5F05"/>
    <w:rsid w:val="00F010CE"/>
    <w:rsid w:val="00F01EA3"/>
    <w:rsid w:val="00F02CFF"/>
    <w:rsid w:val="00F02F81"/>
    <w:rsid w:val="00F04360"/>
    <w:rsid w:val="00F051F0"/>
    <w:rsid w:val="00F056B9"/>
    <w:rsid w:val="00F072AD"/>
    <w:rsid w:val="00F0767B"/>
    <w:rsid w:val="00F1156D"/>
    <w:rsid w:val="00F125D0"/>
    <w:rsid w:val="00F12C07"/>
    <w:rsid w:val="00F13952"/>
    <w:rsid w:val="00F13B2F"/>
    <w:rsid w:val="00F13C69"/>
    <w:rsid w:val="00F1612F"/>
    <w:rsid w:val="00F17060"/>
    <w:rsid w:val="00F1713B"/>
    <w:rsid w:val="00F17417"/>
    <w:rsid w:val="00F17440"/>
    <w:rsid w:val="00F20360"/>
    <w:rsid w:val="00F20EB3"/>
    <w:rsid w:val="00F22729"/>
    <w:rsid w:val="00F23A27"/>
    <w:rsid w:val="00F24411"/>
    <w:rsid w:val="00F24ABD"/>
    <w:rsid w:val="00F25E1B"/>
    <w:rsid w:val="00F27EF3"/>
    <w:rsid w:val="00F27FE8"/>
    <w:rsid w:val="00F3085C"/>
    <w:rsid w:val="00F33A78"/>
    <w:rsid w:val="00F354CA"/>
    <w:rsid w:val="00F355C0"/>
    <w:rsid w:val="00F357F3"/>
    <w:rsid w:val="00F35E86"/>
    <w:rsid w:val="00F36AEA"/>
    <w:rsid w:val="00F36AF7"/>
    <w:rsid w:val="00F36D6E"/>
    <w:rsid w:val="00F36F60"/>
    <w:rsid w:val="00F37A11"/>
    <w:rsid w:val="00F406ED"/>
    <w:rsid w:val="00F41250"/>
    <w:rsid w:val="00F41B92"/>
    <w:rsid w:val="00F42360"/>
    <w:rsid w:val="00F42B6B"/>
    <w:rsid w:val="00F43C17"/>
    <w:rsid w:val="00F44D6E"/>
    <w:rsid w:val="00F450CB"/>
    <w:rsid w:val="00F4555A"/>
    <w:rsid w:val="00F455AA"/>
    <w:rsid w:val="00F45F1A"/>
    <w:rsid w:val="00F4633A"/>
    <w:rsid w:val="00F47D78"/>
    <w:rsid w:val="00F47EFB"/>
    <w:rsid w:val="00F509AE"/>
    <w:rsid w:val="00F512EA"/>
    <w:rsid w:val="00F518C9"/>
    <w:rsid w:val="00F527E4"/>
    <w:rsid w:val="00F534EB"/>
    <w:rsid w:val="00F5399C"/>
    <w:rsid w:val="00F61DC0"/>
    <w:rsid w:val="00F62C48"/>
    <w:rsid w:val="00F62E24"/>
    <w:rsid w:val="00F62F32"/>
    <w:rsid w:val="00F6321F"/>
    <w:rsid w:val="00F632BD"/>
    <w:rsid w:val="00F63EA4"/>
    <w:rsid w:val="00F64DA9"/>
    <w:rsid w:val="00F658E9"/>
    <w:rsid w:val="00F65F23"/>
    <w:rsid w:val="00F65F5D"/>
    <w:rsid w:val="00F666F8"/>
    <w:rsid w:val="00F72A30"/>
    <w:rsid w:val="00F738F0"/>
    <w:rsid w:val="00F75B76"/>
    <w:rsid w:val="00F7693B"/>
    <w:rsid w:val="00F76D90"/>
    <w:rsid w:val="00F7702D"/>
    <w:rsid w:val="00F77CFA"/>
    <w:rsid w:val="00F81901"/>
    <w:rsid w:val="00F82D3C"/>
    <w:rsid w:val="00F83EFD"/>
    <w:rsid w:val="00F843AB"/>
    <w:rsid w:val="00F85574"/>
    <w:rsid w:val="00F86A3A"/>
    <w:rsid w:val="00F87BC8"/>
    <w:rsid w:val="00F90371"/>
    <w:rsid w:val="00F90960"/>
    <w:rsid w:val="00F91F8D"/>
    <w:rsid w:val="00F933ED"/>
    <w:rsid w:val="00F93ACD"/>
    <w:rsid w:val="00F93B07"/>
    <w:rsid w:val="00F93E07"/>
    <w:rsid w:val="00F9532C"/>
    <w:rsid w:val="00FA0DB4"/>
    <w:rsid w:val="00FA0E8A"/>
    <w:rsid w:val="00FA2693"/>
    <w:rsid w:val="00FA33CA"/>
    <w:rsid w:val="00FA412E"/>
    <w:rsid w:val="00FA444D"/>
    <w:rsid w:val="00FA4608"/>
    <w:rsid w:val="00FA4F45"/>
    <w:rsid w:val="00FA6010"/>
    <w:rsid w:val="00FA65A9"/>
    <w:rsid w:val="00FA65B3"/>
    <w:rsid w:val="00FA79B7"/>
    <w:rsid w:val="00FB1825"/>
    <w:rsid w:val="00FB2544"/>
    <w:rsid w:val="00FB2D75"/>
    <w:rsid w:val="00FB2E98"/>
    <w:rsid w:val="00FB48D0"/>
    <w:rsid w:val="00FB4992"/>
    <w:rsid w:val="00FB4BA0"/>
    <w:rsid w:val="00FB6B3A"/>
    <w:rsid w:val="00FB6B79"/>
    <w:rsid w:val="00FB774A"/>
    <w:rsid w:val="00FB7D68"/>
    <w:rsid w:val="00FC0CC2"/>
    <w:rsid w:val="00FC0E71"/>
    <w:rsid w:val="00FC24BA"/>
    <w:rsid w:val="00FC3042"/>
    <w:rsid w:val="00FC4702"/>
    <w:rsid w:val="00FC4AD9"/>
    <w:rsid w:val="00FC7ECD"/>
    <w:rsid w:val="00FD1524"/>
    <w:rsid w:val="00FD33F7"/>
    <w:rsid w:val="00FD3AA5"/>
    <w:rsid w:val="00FD3EAF"/>
    <w:rsid w:val="00FD46E0"/>
    <w:rsid w:val="00FD5D0F"/>
    <w:rsid w:val="00FD7885"/>
    <w:rsid w:val="00FE0434"/>
    <w:rsid w:val="00FE05A5"/>
    <w:rsid w:val="00FE0B3F"/>
    <w:rsid w:val="00FE1DD8"/>
    <w:rsid w:val="00FE207B"/>
    <w:rsid w:val="00FE2A08"/>
    <w:rsid w:val="00FE2FDB"/>
    <w:rsid w:val="00FE3307"/>
    <w:rsid w:val="00FE349A"/>
    <w:rsid w:val="00FE37EA"/>
    <w:rsid w:val="00FE3A45"/>
    <w:rsid w:val="00FE51F6"/>
    <w:rsid w:val="00FE5EC6"/>
    <w:rsid w:val="00FE7336"/>
    <w:rsid w:val="00FE7C5F"/>
    <w:rsid w:val="00FE7CDC"/>
    <w:rsid w:val="00FF1086"/>
    <w:rsid w:val="00FF123A"/>
    <w:rsid w:val="00FF16D8"/>
    <w:rsid w:val="00FF21B4"/>
    <w:rsid w:val="00FF286A"/>
    <w:rsid w:val="00FF30B1"/>
    <w:rsid w:val="00FF4176"/>
    <w:rsid w:val="00FF45EC"/>
    <w:rsid w:val="00FF47ED"/>
    <w:rsid w:val="00FF4B60"/>
    <w:rsid w:val="00FF76B3"/>
    <w:rsid w:val="00FF7D8D"/>
    <w:rsid w:val="00FF7DA2"/>
    <w:rsid w:val="00FF7E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3EAB"/>
    <w:pPr>
      <w:suppressAutoHyphens/>
      <w:spacing w:line="240" w:lineRule="atLeast"/>
    </w:pPr>
    <w:rPr>
      <w:rFonts w:ascii="Times New Roman" w:hAnsi="Times New Roman" w:cs="Times New Roman"/>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lang w:eastAsia="zh-CN"/>
    </w:rPr>
  </w:style>
  <w:style w:type="paragraph" w:styleId="Heading3">
    <w:name w:val="heading 3"/>
    <w:basedOn w:val="Normal"/>
    <w:next w:val="Normal"/>
    <w:link w:val="Heading3Char"/>
    <w:semiHidden/>
    <w:rsid w:val="007268F9"/>
    <w:pPr>
      <w:spacing w:line="240" w:lineRule="auto"/>
      <w:outlineLvl w:val="2"/>
    </w:pPr>
    <w:rPr>
      <w:lang w:eastAsia="zh-CN"/>
    </w:rPr>
  </w:style>
  <w:style w:type="paragraph" w:styleId="Heading4">
    <w:name w:val="heading 4"/>
    <w:basedOn w:val="Normal"/>
    <w:next w:val="Normal"/>
    <w:link w:val="Heading4Char"/>
    <w:semiHidden/>
    <w:rsid w:val="007268F9"/>
    <w:pPr>
      <w:spacing w:line="240" w:lineRule="auto"/>
      <w:outlineLvl w:val="3"/>
    </w:pPr>
    <w:rPr>
      <w:lang w:eastAsia="zh-CN"/>
    </w:rPr>
  </w:style>
  <w:style w:type="paragraph" w:styleId="Heading5">
    <w:name w:val="heading 5"/>
    <w:basedOn w:val="Normal"/>
    <w:next w:val="Normal"/>
    <w:link w:val="Heading5Char"/>
    <w:semiHidden/>
    <w:rsid w:val="007268F9"/>
    <w:pPr>
      <w:spacing w:line="240" w:lineRule="auto"/>
      <w:outlineLvl w:val="4"/>
    </w:pPr>
    <w:rPr>
      <w:lang w:eastAsia="zh-CN"/>
    </w:rPr>
  </w:style>
  <w:style w:type="paragraph" w:styleId="Heading6">
    <w:name w:val="heading 6"/>
    <w:basedOn w:val="Normal"/>
    <w:next w:val="Normal"/>
    <w:link w:val="Heading6Char"/>
    <w:semiHidden/>
    <w:rsid w:val="007268F9"/>
    <w:pPr>
      <w:spacing w:line="240" w:lineRule="auto"/>
      <w:outlineLvl w:val="5"/>
    </w:pPr>
    <w:rPr>
      <w:lang w:eastAsia="zh-CN"/>
    </w:rPr>
  </w:style>
  <w:style w:type="paragraph" w:styleId="Heading7">
    <w:name w:val="heading 7"/>
    <w:basedOn w:val="Normal"/>
    <w:next w:val="Normal"/>
    <w:link w:val="Heading7Char"/>
    <w:semiHidden/>
    <w:rsid w:val="007268F9"/>
    <w:pPr>
      <w:spacing w:line="240" w:lineRule="auto"/>
      <w:outlineLvl w:val="6"/>
    </w:pPr>
    <w:rPr>
      <w:lang w:eastAsia="zh-CN"/>
    </w:rPr>
  </w:style>
  <w:style w:type="paragraph" w:styleId="Heading8">
    <w:name w:val="heading 8"/>
    <w:basedOn w:val="Normal"/>
    <w:next w:val="Normal"/>
    <w:link w:val="Heading8Char"/>
    <w:semiHidden/>
    <w:rsid w:val="007268F9"/>
    <w:pPr>
      <w:spacing w:line="240" w:lineRule="auto"/>
      <w:outlineLvl w:val="7"/>
    </w:pPr>
    <w:rPr>
      <w:lang w:eastAsia="zh-CN"/>
    </w:rPr>
  </w:style>
  <w:style w:type="paragraph" w:styleId="Heading9">
    <w:name w:val="heading 9"/>
    <w:basedOn w:val="Normal"/>
    <w:next w:val="Normal"/>
    <w:link w:val="Heading9Char"/>
    <w:semiHidden/>
    <w:rsid w:val="007268F9"/>
    <w:pPr>
      <w:spacing w:line="240" w:lineRule="auto"/>
      <w:outlineLvl w:val="8"/>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b/>
      <w:sz w:val="18"/>
      <w:lang w:eastAsia="zh-CN"/>
    </w:rPr>
  </w:style>
  <w:style w:type="character" w:customStyle="1" w:styleId="HeaderChar">
    <w:name w:val="Header Char"/>
    <w:aliases w:val="6_G Char"/>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sz w:val="16"/>
      <w:lang w:eastAsia="zh-CN"/>
    </w:rPr>
  </w:style>
  <w:style w:type="character" w:customStyle="1" w:styleId="FooterChar">
    <w:name w:val="Footer Char"/>
    <w:aliases w:val="3_G Char"/>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lang w:eastAsia="zh-CN"/>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lang w:eastAsia="zh-CN"/>
    </w:rPr>
  </w:style>
  <w:style w:type="paragraph" w:customStyle="1" w:styleId="H1G">
    <w:name w:val="_ H_1_G"/>
    <w:basedOn w:val="Normal"/>
    <w:next w:val="Normal"/>
    <w:link w:val="H1GChar"/>
    <w:rsid w:val="007268F9"/>
    <w:pPr>
      <w:keepNext/>
      <w:keepLines/>
      <w:tabs>
        <w:tab w:val="right" w:pos="851"/>
      </w:tabs>
      <w:spacing w:before="360" w:after="240" w:line="270" w:lineRule="exact"/>
      <w:ind w:left="1134" w:right="1134" w:hanging="1134"/>
    </w:pPr>
    <w:rPr>
      <w:b/>
      <w:sz w:val="24"/>
      <w:lang w:eastAsia="zh-CN"/>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lang w:eastAsia="zh-CN"/>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lang w:eastAsia="zh-CN"/>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rPr>
      <w:lang w:eastAsia="zh-CN"/>
    </w:rPr>
  </w:style>
  <w:style w:type="paragraph" w:customStyle="1" w:styleId="SingleTxtG">
    <w:name w:val="_ Single Txt_G"/>
    <w:basedOn w:val="Normal"/>
    <w:link w:val="SingleTxtGChar"/>
    <w:rsid w:val="007268F9"/>
    <w:pPr>
      <w:spacing w:after="120"/>
      <w:ind w:left="1134" w:right="1134"/>
      <w:jc w:val="both"/>
    </w:pPr>
    <w:rPr>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lang w:eastAsia="zh-CN"/>
    </w:rPr>
  </w:style>
  <w:style w:type="paragraph" w:customStyle="1" w:styleId="SMG">
    <w:name w:val="__S_M_G"/>
    <w:basedOn w:val="Normal"/>
    <w:next w:val="Normal"/>
    <w:rsid w:val="007268F9"/>
    <w:pPr>
      <w:keepNext/>
      <w:keepLines/>
      <w:spacing w:before="240" w:after="240" w:line="420" w:lineRule="exact"/>
      <w:ind w:left="1134" w:right="1134"/>
    </w:pPr>
    <w:rPr>
      <w:b/>
      <w:sz w:val="40"/>
      <w:lang w:eastAsia="zh-CN"/>
    </w:rPr>
  </w:style>
  <w:style w:type="paragraph" w:customStyle="1" w:styleId="SSG">
    <w:name w:val="__S_S_G"/>
    <w:basedOn w:val="Normal"/>
    <w:next w:val="Normal"/>
    <w:rsid w:val="007268F9"/>
    <w:pPr>
      <w:keepNext/>
      <w:keepLines/>
      <w:spacing w:before="240" w:after="240" w:line="300" w:lineRule="exact"/>
      <w:ind w:left="1134" w:right="1134"/>
    </w:pPr>
    <w:rPr>
      <w:b/>
      <w:sz w:val="28"/>
      <w:lang w:eastAsia="zh-CN"/>
    </w:rPr>
  </w:style>
  <w:style w:type="paragraph" w:customStyle="1" w:styleId="XLargeG">
    <w:name w:val="__XLarge_G"/>
    <w:basedOn w:val="Normal"/>
    <w:next w:val="Normal"/>
    <w:rsid w:val="007268F9"/>
    <w:pPr>
      <w:keepNext/>
      <w:keepLines/>
      <w:spacing w:before="240" w:after="240" w:line="420" w:lineRule="exact"/>
      <w:ind w:left="1134" w:right="1134"/>
    </w:pPr>
    <w:rPr>
      <w:b/>
      <w:sz w:val="40"/>
      <w:lang w:eastAsia="zh-CN"/>
    </w:rPr>
  </w:style>
  <w:style w:type="paragraph" w:customStyle="1" w:styleId="Bullet1G">
    <w:name w:val="_Bullet 1_G"/>
    <w:basedOn w:val="Normal"/>
    <w:rsid w:val="007268F9"/>
    <w:pPr>
      <w:numPr>
        <w:numId w:val="1"/>
      </w:numPr>
      <w:spacing w:after="120"/>
      <w:ind w:right="1134"/>
      <w:jc w:val="both"/>
    </w:pPr>
    <w:rPr>
      <w:lang w:eastAsia="zh-CN"/>
    </w:rPr>
  </w:style>
  <w:style w:type="paragraph" w:customStyle="1" w:styleId="Bullet2G">
    <w:name w:val="_Bullet 2_G"/>
    <w:basedOn w:val="Normal"/>
    <w:rsid w:val="007268F9"/>
    <w:pPr>
      <w:numPr>
        <w:numId w:val="2"/>
      </w:numPr>
      <w:spacing w:after="120"/>
      <w:ind w:right="1134"/>
      <w:jc w:val="both"/>
    </w:pPr>
    <w:rPr>
      <w:lang w:eastAsia="zh-CN"/>
    </w:r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4"/>
      </w:numPr>
    </w:pPr>
  </w:style>
  <w:style w:type="numbering" w:styleId="1ai">
    <w:name w:val="Outline List 1"/>
    <w:basedOn w:val="NoList"/>
    <w:semiHidden/>
    <w:rsid w:val="007268F9"/>
    <w:pPr>
      <w:numPr>
        <w:numId w:val="5"/>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uiPriority w:val="99"/>
    <w:qFormat/>
    <w:rsid w:val="005C6961"/>
    <w:pPr>
      <w:tabs>
        <w:tab w:val="right" w:pos="1021"/>
      </w:tabs>
      <w:spacing w:line="220" w:lineRule="exact"/>
      <w:ind w:left="567" w:right="1134" w:hanging="567"/>
    </w:pPr>
    <w:rPr>
      <w:sz w:val="18"/>
      <w:lang w:eastAsia="zh-CN"/>
    </w:rPr>
  </w:style>
  <w:style w:type="character" w:customStyle="1" w:styleId="FootnoteTextChar">
    <w:name w:val="Footnote Text Char"/>
    <w:aliases w:val="5_G Char"/>
    <w:link w:val="FootnoteText"/>
    <w:uiPriority w:val="99"/>
    <w:rsid w:val="005C6961"/>
    <w:rPr>
      <w:rFonts w:ascii="Times New Roman" w:hAnsi="Times New Roman" w:cs="Times New Roman"/>
      <w:sz w:val="18"/>
      <w:lang w:eastAsia="zh-CN"/>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link w:val="EndnoteText"/>
    <w:rsid w:val="007268F9"/>
    <w:rPr>
      <w:rFonts w:ascii="Times New Roman" w:eastAsia="SimSun" w:hAnsi="Times New Roman" w:cs="Times New Roman"/>
      <w:sz w:val="18"/>
      <w:szCs w:val="20"/>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uiPriority w:val="99"/>
    <w:qFormat/>
    <w:rsid w:val="007268F9"/>
    <w:rPr>
      <w:rFonts w:ascii="Times New Roman" w:hAnsi="Times New Roman"/>
      <w:sz w:val="18"/>
      <w:vertAlign w:val="superscript"/>
    </w:rPr>
  </w:style>
  <w:style w:type="character" w:customStyle="1" w:styleId="Heading1Char">
    <w:name w:val="Heading 1 Char"/>
    <w:aliases w:val="Table_G Char"/>
    <w:link w:val="Heading1"/>
    <w:semiHidden/>
    <w:rsid w:val="003B4550"/>
    <w:rPr>
      <w:rFonts w:ascii="Times New Roman" w:hAnsi="Times New Roman" w:cs="Times New Roman"/>
      <w:sz w:val="20"/>
      <w:szCs w:val="20"/>
    </w:rPr>
  </w:style>
  <w:style w:type="character" w:customStyle="1" w:styleId="Heading2Char">
    <w:name w:val="Heading 2 Char"/>
    <w:link w:val="Heading2"/>
    <w:semiHidden/>
    <w:rsid w:val="003B4550"/>
    <w:rPr>
      <w:rFonts w:ascii="Times New Roman" w:hAnsi="Times New Roman" w:cs="Times New Roman"/>
      <w:sz w:val="20"/>
      <w:szCs w:val="20"/>
    </w:rPr>
  </w:style>
  <w:style w:type="character" w:customStyle="1" w:styleId="Heading3Char">
    <w:name w:val="Heading 3 Char"/>
    <w:link w:val="Heading3"/>
    <w:semiHidden/>
    <w:rsid w:val="003B4550"/>
    <w:rPr>
      <w:rFonts w:ascii="Times New Roman" w:hAnsi="Times New Roman" w:cs="Times New Roman"/>
      <w:sz w:val="20"/>
      <w:szCs w:val="20"/>
    </w:rPr>
  </w:style>
  <w:style w:type="character" w:customStyle="1" w:styleId="Heading4Char">
    <w:name w:val="Heading 4 Char"/>
    <w:link w:val="Heading4"/>
    <w:rsid w:val="003B4550"/>
    <w:rPr>
      <w:rFonts w:ascii="Times New Roman" w:hAnsi="Times New Roman" w:cs="Times New Roman"/>
      <w:sz w:val="20"/>
      <w:szCs w:val="20"/>
    </w:rPr>
  </w:style>
  <w:style w:type="character" w:customStyle="1" w:styleId="Heading5Char">
    <w:name w:val="Heading 5 Char"/>
    <w:link w:val="Heading5"/>
    <w:semiHidden/>
    <w:rsid w:val="003B4550"/>
    <w:rPr>
      <w:rFonts w:ascii="Times New Roman" w:hAnsi="Times New Roman" w:cs="Times New Roman"/>
      <w:sz w:val="20"/>
      <w:szCs w:val="20"/>
    </w:rPr>
  </w:style>
  <w:style w:type="character" w:customStyle="1" w:styleId="Heading6Char">
    <w:name w:val="Heading 6 Char"/>
    <w:link w:val="Heading6"/>
    <w:semiHidden/>
    <w:rsid w:val="003B4550"/>
    <w:rPr>
      <w:rFonts w:ascii="Times New Roman" w:hAnsi="Times New Roman" w:cs="Times New Roman"/>
      <w:sz w:val="20"/>
      <w:szCs w:val="20"/>
    </w:rPr>
  </w:style>
  <w:style w:type="character" w:customStyle="1" w:styleId="Heading7Char">
    <w:name w:val="Heading 7 Char"/>
    <w:link w:val="Heading7"/>
    <w:semiHidden/>
    <w:rsid w:val="003B4550"/>
    <w:rPr>
      <w:rFonts w:ascii="Times New Roman" w:hAnsi="Times New Roman" w:cs="Times New Roman"/>
      <w:sz w:val="20"/>
      <w:szCs w:val="20"/>
    </w:rPr>
  </w:style>
  <w:style w:type="character" w:customStyle="1" w:styleId="Heading8Char">
    <w:name w:val="Heading 8 Char"/>
    <w:link w:val="Heading8"/>
    <w:semiHidden/>
    <w:rsid w:val="003B4550"/>
    <w:rPr>
      <w:rFonts w:ascii="Times New Roman" w:hAnsi="Times New Roman" w:cs="Times New Roman"/>
      <w:sz w:val="20"/>
      <w:szCs w:val="20"/>
    </w:rPr>
  </w:style>
  <w:style w:type="character" w:customStyle="1" w:styleId="Heading9Char">
    <w:name w:val="Heading 9 Char"/>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uiPriority w:val="33"/>
    <w:semiHidden/>
    <w:rsid w:val="007268F9"/>
    <w:rPr>
      <w:b/>
      <w:bCs/>
      <w:smallCaps/>
      <w:spacing w:val="5"/>
    </w:rPr>
  </w:style>
  <w:style w:type="table" w:styleId="TableGrid">
    <w:name w:val="Table Grid"/>
    <w:basedOn w:val="TableNormal"/>
    <w:uiPriority w:val="39"/>
    <w:rsid w:val="00C9007B"/>
    <w:pPr>
      <w:suppressAutoHyphens/>
      <w:spacing w:line="240" w:lineRule="atLeast"/>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07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9007B"/>
    <w:rPr>
      <w:rFonts w:ascii="Tahoma" w:hAnsi="Tahoma" w:cs="Tahoma"/>
      <w:sz w:val="16"/>
      <w:szCs w:val="16"/>
      <w:lang w:eastAsia="en-US"/>
    </w:rPr>
  </w:style>
  <w:style w:type="character" w:customStyle="1" w:styleId="SingleTxtGChar">
    <w:name w:val="_ Single Txt_G Char"/>
    <w:link w:val="SingleTxtG"/>
    <w:rsid w:val="006E4390"/>
    <w:rPr>
      <w:rFonts w:ascii="Times New Roman" w:hAnsi="Times New Roman" w:cs="Times New Roman"/>
      <w:sz w:val="20"/>
      <w:szCs w:val="20"/>
    </w:rPr>
  </w:style>
  <w:style w:type="paragraph" w:styleId="NormalWeb">
    <w:name w:val="Normal (Web)"/>
    <w:basedOn w:val="Normal"/>
    <w:uiPriority w:val="99"/>
    <w:semiHidden/>
    <w:unhideWhenUsed/>
    <w:rsid w:val="000D4A2B"/>
    <w:pPr>
      <w:suppressAutoHyphens w:val="0"/>
      <w:spacing w:before="100" w:beforeAutospacing="1" w:after="100" w:afterAutospacing="1" w:line="240" w:lineRule="auto"/>
    </w:pPr>
    <w:rPr>
      <w:rFonts w:eastAsia="Times New Roman"/>
      <w:sz w:val="24"/>
      <w:szCs w:val="24"/>
      <w:lang w:val="en-US"/>
    </w:rPr>
  </w:style>
  <w:style w:type="character" w:styleId="CommentReference">
    <w:name w:val="annotation reference"/>
    <w:basedOn w:val="DefaultParagraphFont"/>
    <w:uiPriority w:val="99"/>
    <w:semiHidden/>
    <w:unhideWhenUsed/>
    <w:rsid w:val="00482C95"/>
    <w:rPr>
      <w:sz w:val="16"/>
      <w:szCs w:val="16"/>
    </w:rPr>
  </w:style>
  <w:style w:type="paragraph" w:styleId="CommentText">
    <w:name w:val="annotation text"/>
    <w:basedOn w:val="Normal"/>
    <w:link w:val="CommentTextChar"/>
    <w:uiPriority w:val="99"/>
    <w:unhideWhenUsed/>
    <w:rsid w:val="00482C95"/>
    <w:pPr>
      <w:spacing w:line="240" w:lineRule="auto"/>
    </w:pPr>
  </w:style>
  <w:style w:type="character" w:customStyle="1" w:styleId="CommentTextChar">
    <w:name w:val="Comment Text Char"/>
    <w:basedOn w:val="DefaultParagraphFont"/>
    <w:link w:val="CommentText"/>
    <w:uiPriority w:val="99"/>
    <w:rsid w:val="00482C95"/>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482C95"/>
    <w:rPr>
      <w:b/>
      <w:bCs/>
    </w:rPr>
  </w:style>
  <w:style w:type="character" w:customStyle="1" w:styleId="CommentSubjectChar">
    <w:name w:val="Comment Subject Char"/>
    <w:basedOn w:val="CommentTextChar"/>
    <w:link w:val="CommentSubject"/>
    <w:uiPriority w:val="99"/>
    <w:semiHidden/>
    <w:rsid w:val="00482C95"/>
    <w:rPr>
      <w:rFonts w:ascii="Times New Roman" w:hAnsi="Times New Roman" w:cs="Times New Roman"/>
      <w:b/>
      <w:bCs/>
      <w:lang w:eastAsia="en-US"/>
    </w:rPr>
  </w:style>
  <w:style w:type="paragraph" w:styleId="ListParagraph">
    <w:name w:val="List Paragraph"/>
    <w:aliases w:val="List Paragraph numbered,List Paragraph1,List Bullet indent,Body,Level 3,Rec para,Bullet List,FooterText,numbered,Paragraphe de liste1,Bulletr List Paragraph,列出段落,列出段落1,Listeafsnit1,Parágrafo da Lista1,List Paragraph2,List Paragraph21"/>
    <w:basedOn w:val="Normal"/>
    <w:link w:val="ListParagraphChar"/>
    <w:uiPriority w:val="34"/>
    <w:qFormat/>
    <w:rsid w:val="00537AD2"/>
    <w:pPr>
      <w:suppressAutoHyphens w:val="0"/>
      <w:spacing w:after="120" w:line="288" w:lineRule="auto"/>
      <w:ind w:left="720"/>
      <w:contextualSpacing/>
    </w:pPr>
    <w:rPr>
      <w:rFonts w:ascii="Verdana" w:eastAsia="Calibri" w:hAnsi="Verdana" w:cs="Arial"/>
      <w:szCs w:val="22"/>
      <w:lang w:val="en-NZ"/>
    </w:rPr>
  </w:style>
  <w:style w:type="paragraph" w:customStyle="1" w:styleId="Bullet1">
    <w:name w:val="Bullet1"/>
    <w:basedOn w:val="Normal"/>
    <w:uiPriority w:val="4"/>
    <w:qFormat/>
    <w:rsid w:val="00537AD2"/>
    <w:pPr>
      <w:numPr>
        <w:numId w:val="7"/>
      </w:numPr>
      <w:tabs>
        <w:tab w:val="left" w:pos="454"/>
      </w:tabs>
      <w:autoSpaceDE w:val="0"/>
      <w:autoSpaceDN w:val="0"/>
      <w:adjustRightInd w:val="0"/>
      <w:spacing w:after="120" w:line="288" w:lineRule="auto"/>
      <w:ind w:left="567" w:hanging="567"/>
      <w:textAlignment w:val="center"/>
    </w:pPr>
    <w:rPr>
      <w:rFonts w:ascii="Verdana" w:eastAsia="Times New Roman" w:hAnsi="Verdana" w:cs="Arial"/>
      <w:kern w:val="28"/>
      <w:lang w:val="en-US"/>
    </w:rPr>
  </w:style>
  <w:style w:type="character" w:customStyle="1" w:styleId="ListParagraphChar">
    <w:name w:val="List Paragraph Char"/>
    <w:aliases w:val="List Paragraph numbered Char,List Paragraph1 Char,List Bullet indent Char,Body Char,Level 3 Char,Rec para Char,Bullet List Char,FooterText Char,numbered Char,Paragraphe de liste1 Char,Bulletr List Paragraph Char,列出段落 Char,列出段落1 Char"/>
    <w:basedOn w:val="DefaultParagraphFont"/>
    <w:link w:val="ListParagraph"/>
    <w:uiPriority w:val="34"/>
    <w:qFormat/>
    <w:locked/>
    <w:rsid w:val="00537AD2"/>
    <w:rPr>
      <w:rFonts w:ascii="Verdana" w:eastAsia="Calibri" w:hAnsi="Verdana"/>
      <w:szCs w:val="22"/>
      <w:lang w:val="en-NZ" w:eastAsia="en-US"/>
    </w:rPr>
  </w:style>
  <w:style w:type="paragraph" w:customStyle="1" w:styleId="CRPDSoP-Body">
    <w:name w:val="CRPD SoP - Body"/>
    <w:basedOn w:val="SingleTxtG"/>
    <w:link w:val="CRPDSoP-BodyChar"/>
    <w:qFormat/>
    <w:rsid w:val="00430ADF"/>
    <w:pPr>
      <w:tabs>
        <w:tab w:val="left" w:pos="6750"/>
      </w:tabs>
      <w:ind w:left="1170"/>
    </w:pPr>
    <w:rPr>
      <w:rFonts w:ascii="Verdana" w:eastAsia="Calibri" w:hAnsi="Verdana" w:cs="Arial"/>
      <w:noProof/>
      <w:lang w:val="en-NZ"/>
    </w:rPr>
  </w:style>
  <w:style w:type="paragraph" w:customStyle="1" w:styleId="CRPDStateParty-bullets">
    <w:name w:val="CRPD State Party - bullets"/>
    <w:basedOn w:val="SingleTxtG"/>
    <w:qFormat/>
    <w:rsid w:val="00972A92"/>
    <w:pPr>
      <w:numPr>
        <w:numId w:val="6"/>
      </w:numPr>
    </w:pPr>
    <w:rPr>
      <w:rFonts w:ascii="Verdana" w:hAnsi="Verdana"/>
      <w:sz w:val="24"/>
    </w:rPr>
  </w:style>
  <w:style w:type="paragraph" w:customStyle="1" w:styleId="CRPDStateParty-indentedbullets">
    <w:name w:val="CRPD State Party - indented bullets"/>
    <w:basedOn w:val="CRPDStateParty-bullets"/>
    <w:autoRedefine/>
    <w:qFormat/>
    <w:rsid w:val="00104387"/>
    <w:pPr>
      <w:numPr>
        <w:ilvl w:val="2"/>
        <w:numId w:val="16"/>
      </w:numPr>
    </w:pPr>
  </w:style>
  <w:style w:type="paragraph" w:customStyle="1" w:styleId="CRPD-StateParty-replyheading">
    <w:name w:val="CRPD - State Party - reply heading"/>
    <w:basedOn w:val="SingleTxtG"/>
    <w:autoRedefine/>
    <w:qFormat/>
    <w:rsid w:val="002B2D60"/>
    <w:pPr>
      <w:keepNext/>
      <w:ind w:left="1170" w:right="1138"/>
    </w:pPr>
    <w:rPr>
      <w:rFonts w:ascii="Verdana" w:hAnsi="Verdana"/>
      <w:noProof/>
      <w:sz w:val="22"/>
      <w:u w:val="single"/>
    </w:rPr>
  </w:style>
  <w:style w:type="paragraph" w:customStyle="1" w:styleId="CRPDStateParty-bodyitalics">
    <w:name w:val="CRPD State Party - body italics"/>
    <w:basedOn w:val="CRPDSoP-Body"/>
    <w:link w:val="CRPDStateParty-bodyitalicsChar"/>
    <w:autoRedefine/>
    <w:qFormat/>
    <w:rsid w:val="00972A92"/>
    <w:rPr>
      <w:i/>
      <w:sz w:val="24"/>
    </w:rPr>
  </w:style>
  <w:style w:type="character" w:customStyle="1" w:styleId="CRPDSoP-BodyChar">
    <w:name w:val="CRPD SoP - Body Char"/>
    <w:basedOn w:val="SingleTxtGChar"/>
    <w:link w:val="CRPDSoP-Body"/>
    <w:rsid w:val="00430ADF"/>
    <w:rPr>
      <w:rFonts w:ascii="Verdana" w:eastAsia="Calibri" w:hAnsi="Verdana" w:cs="Times New Roman"/>
      <w:noProof/>
      <w:sz w:val="20"/>
      <w:szCs w:val="20"/>
      <w:lang w:val="en-NZ" w:eastAsia="zh-CN"/>
    </w:rPr>
  </w:style>
  <w:style w:type="character" w:customStyle="1" w:styleId="CRPDStateParty-bodyitalicsChar">
    <w:name w:val="CRPD State Party - body italics Char"/>
    <w:basedOn w:val="CRPDSoP-BodyChar"/>
    <w:link w:val="CRPDStateParty-bodyitalics"/>
    <w:rsid w:val="00972A92"/>
    <w:rPr>
      <w:rFonts w:ascii="Verdana" w:eastAsia="Calibri" w:hAnsi="Verdana" w:cs="Times New Roman"/>
      <w:i/>
      <w:noProof/>
      <w:sz w:val="24"/>
      <w:szCs w:val="20"/>
      <w:lang w:val="en-NZ" w:eastAsia="zh-CN"/>
    </w:rPr>
  </w:style>
  <w:style w:type="paragraph" w:styleId="Revision">
    <w:name w:val="Revision"/>
    <w:hidden/>
    <w:uiPriority w:val="99"/>
    <w:semiHidden/>
    <w:rsid w:val="00A05B08"/>
    <w:rPr>
      <w:rFonts w:ascii="Times New Roman" w:hAnsi="Times New Roman" w:cs="Times New Roman"/>
      <w:lang w:eastAsia="en-US"/>
    </w:rPr>
  </w:style>
  <w:style w:type="paragraph" w:styleId="NoSpacing">
    <w:name w:val="No Spacing"/>
    <w:basedOn w:val="BodyText"/>
    <w:uiPriority w:val="1"/>
    <w:qFormat/>
    <w:rsid w:val="00500D85"/>
    <w:pPr>
      <w:suppressAutoHyphens w:val="0"/>
      <w:spacing w:line="288" w:lineRule="auto"/>
    </w:pPr>
    <w:rPr>
      <w:rFonts w:ascii="Verdana" w:eastAsia="Calibri" w:hAnsi="Verdana" w:cs="Arial"/>
      <w:szCs w:val="22"/>
      <w:lang w:val="en-NZ"/>
    </w:rPr>
  </w:style>
  <w:style w:type="paragraph" w:styleId="BodyText">
    <w:name w:val="Body Text"/>
    <w:basedOn w:val="Normal"/>
    <w:link w:val="BodyTextChar"/>
    <w:uiPriority w:val="99"/>
    <w:semiHidden/>
    <w:unhideWhenUsed/>
    <w:rsid w:val="00500D85"/>
    <w:pPr>
      <w:spacing w:after="120"/>
    </w:pPr>
  </w:style>
  <w:style w:type="character" w:customStyle="1" w:styleId="BodyTextChar">
    <w:name w:val="Body Text Char"/>
    <w:basedOn w:val="DefaultParagraphFont"/>
    <w:link w:val="BodyText"/>
    <w:uiPriority w:val="99"/>
    <w:semiHidden/>
    <w:rsid w:val="00500D85"/>
    <w:rPr>
      <w:rFonts w:ascii="Times New Roman" w:hAnsi="Times New Roman" w:cs="Times New Roman"/>
      <w:lang w:eastAsia="en-US"/>
    </w:rPr>
  </w:style>
  <w:style w:type="paragraph" w:customStyle="1" w:styleId="CRPDStateParty-Replyto">
    <w:name w:val="CRPD State Party - Reply to"/>
    <w:basedOn w:val="SingleTxtG"/>
    <w:autoRedefine/>
    <w:qFormat/>
    <w:rsid w:val="009D6732"/>
    <w:pPr>
      <w:widowControl w:val="0"/>
      <w:tabs>
        <w:tab w:val="left" w:pos="8080"/>
      </w:tabs>
    </w:pPr>
    <w:rPr>
      <w:rFonts w:ascii="Verdana" w:hAnsi="Verdana"/>
      <w:b/>
      <w:sz w:val="24"/>
      <w:lang w:val="en-NZ"/>
    </w:rPr>
  </w:style>
  <w:style w:type="paragraph" w:customStyle="1" w:styleId="CRPD-StateParty-boxheading">
    <w:name w:val="CRPD - State Party - box heading"/>
    <w:basedOn w:val="Normal"/>
    <w:link w:val="CRPD-StateParty-boxheadingChar"/>
    <w:qFormat/>
    <w:rsid w:val="002E6CF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60"/>
      <w:ind w:left="1170"/>
    </w:pPr>
    <w:rPr>
      <w:b/>
      <w:i/>
    </w:rPr>
  </w:style>
  <w:style w:type="paragraph" w:customStyle="1" w:styleId="CRPD-StateParty-boxbody">
    <w:name w:val="CRPD - State Party - box body"/>
    <w:basedOn w:val="Normal"/>
    <w:link w:val="CRPD-StateParty-boxbodyChar"/>
    <w:qFormat/>
    <w:rsid w:val="002E6CF9"/>
    <w:pPr>
      <w:pBdr>
        <w:top w:val="single" w:sz="4" w:space="1" w:color="auto"/>
        <w:left w:val="single" w:sz="4" w:space="0" w:color="auto"/>
        <w:bottom w:val="single" w:sz="4" w:space="1" w:color="auto"/>
        <w:right w:val="single" w:sz="4" w:space="4" w:color="auto"/>
      </w:pBdr>
      <w:shd w:val="clear" w:color="auto" w:fill="F2F2F2" w:themeFill="background1" w:themeFillShade="F2"/>
      <w:ind w:left="1107"/>
      <w:jc w:val="both"/>
    </w:pPr>
  </w:style>
  <w:style w:type="character" w:customStyle="1" w:styleId="CRPD-StateParty-boxheadingChar">
    <w:name w:val="CRPD - State Party - box heading Char"/>
    <w:basedOn w:val="DefaultParagraphFont"/>
    <w:link w:val="CRPD-StateParty-boxheading"/>
    <w:rsid w:val="002E6CF9"/>
    <w:rPr>
      <w:rFonts w:ascii="Times New Roman" w:hAnsi="Times New Roman" w:cs="Times New Roman"/>
      <w:b/>
      <w:i/>
      <w:shd w:val="clear" w:color="auto" w:fill="F2F2F2" w:themeFill="background1" w:themeFillShade="F2"/>
      <w:lang w:eastAsia="en-US"/>
    </w:rPr>
  </w:style>
  <w:style w:type="character" w:customStyle="1" w:styleId="CRPD-StateParty-bodyfootnotesuperscript">
    <w:name w:val="CRPD - State Party - body footnote superscript"/>
    <w:basedOn w:val="DefaultParagraphFont"/>
    <w:uiPriority w:val="1"/>
    <w:qFormat/>
    <w:rsid w:val="002127AD"/>
    <w:rPr>
      <w:vertAlign w:val="superscript"/>
    </w:rPr>
  </w:style>
  <w:style w:type="character" w:customStyle="1" w:styleId="CRPD-StateParty-boxbodyChar">
    <w:name w:val="CRPD - State Party - box body Char"/>
    <w:basedOn w:val="DefaultParagraphFont"/>
    <w:link w:val="CRPD-StateParty-boxbody"/>
    <w:rsid w:val="002E6CF9"/>
    <w:rPr>
      <w:rFonts w:ascii="Times New Roman" w:hAnsi="Times New Roman" w:cs="Times New Roman"/>
      <w:shd w:val="clear" w:color="auto" w:fill="F2F2F2" w:themeFill="background1" w:themeFillShade="F2"/>
      <w:lang w:eastAsia="en-US"/>
    </w:rPr>
  </w:style>
  <w:style w:type="paragraph" w:customStyle="1" w:styleId="ReportBody">
    <w:name w:val="Report Body"/>
    <w:basedOn w:val="Normal"/>
    <w:link w:val="ReportBodyChar"/>
    <w:qFormat/>
    <w:rsid w:val="00272479"/>
    <w:pPr>
      <w:numPr>
        <w:numId w:val="8"/>
      </w:numPr>
      <w:suppressAutoHyphens w:val="0"/>
      <w:spacing w:before="120" w:after="120" w:line="240" w:lineRule="auto"/>
    </w:pPr>
    <w:rPr>
      <w:rFonts w:ascii="Verdana" w:eastAsia="Times New Roman" w:hAnsi="Verdana" w:cs="Arial"/>
      <w:color w:val="000000"/>
      <w:kern w:val="22"/>
      <w:lang w:val="en-NZ" w:eastAsia="en-NZ"/>
    </w:rPr>
  </w:style>
  <w:style w:type="character" w:customStyle="1" w:styleId="ReportBodyChar">
    <w:name w:val="Report Body Char"/>
    <w:basedOn w:val="DefaultParagraphFont"/>
    <w:link w:val="ReportBody"/>
    <w:rsid w:val="00272479"/>
    <w:rPr>
      <w:rFonts w:ascii="Verdana" w:eastAsia="Times New Roman" w:hAnsi="Verdana"/>
      <w:color w:val="000000"/>
      <w:kern w:val="22"/>
      <w:lang w:val="en-NZ" w:eastAsia="en-NZ"/>
    </w:rPr>
  </w:style>
  <w:style w:type="paragraph" w:customStyle="1" w:styleId="ReportBody2">
    <w:name w:val="Report Body 2"/>
    <w:basedOn w:val="ReportBody"/>
    <w:uiPriority w:val="99"/>
    <w:qFormat/>
    <w:rsid w:val="00272479"/>
    <w:pPr>
      <w:numPr>
        <w:ilvl w:val="1"/>
      </w:numPr>
      <w:tabs>
        <w:tab w:val="clear" w:pos="493"/>
        <w:tab w:val="num" w:pos="360"/>
      </w:tabs>
    </w:pPr>
  </w:style>
  <w:style w:type="paragraph" w:customStyle="1" w:styleId="NumtxtBullet1">
    <w:name w:val="Num txt: Bullet 1"/>
    <w:rsid w:val="000E1DC5"/>
    <w:pPr>
      <w:numPr>
        <w:ilvl w:val="1"/>
        <w:numId w:val="9"/>
      </w:numPr>
      <w:spacing w:after="120"/>
    </w:pPr>
    <w:rPr>
      <w:rFonts w:ascii="Arial" w:eastAsia="Times New Roman" w:hAnsi="Arial" w:cs="Times New Roman"/>
      <w:sz w:val="22"/>
      <w:szCs w:val="22"/>
      <w:lang w:val="en-NZ" w:eastAsia="en-US"/>
    </w:rPr>
  </w:style>
  <w:style w:type="paragraph" w:customStyle="1" w:styleId="NumtxtBullet2">
    <w:name w:val="Num txt: Bullet 2"/>
    <w:rsid w:val="000E1DC5"/>
    <w:pPr>
      <w:numPr>
        <w:ilvl w:val="2"/>
        <w:numId w:val="9"/>
      </w:numPr>
    </w:pPr>
    <w:rPr>
      <w:rFonts w:ascii="Arial" w:eastAsia="Times New Roman" w:hAnsi="Arial" w:cs="Times New Roman"/>
      <w:sz w:val="22"/>
      <w:szCs w:val="24"/>
      <w:lang w:val="en-NZ" w:eastAsia="en-NZ"/>
    </w:rPr>
  </w:style>
  <w:style w:type="paragraph" w:customStyle="1" w:styleId="NumtxtText">
    <w:name w:val="Num txt: Text"/>
    <w:link w:val="NumtxtTextChar"/>
    <w:rsid w:val="000E1DC5"/>
    <w:pPr>
      <w:numPr>
        <w:numId w:val="9"/>
      </w:numPr>
      <w:spacing w:before="60" w:after="180"/>
    </w:pPr>
    <w:rPr>
      <w:rFonts w:ascii="Arial" w:eastAsia="Times New Roman" w:hAnsi="Arial" w:cs="Times New Roman"/>
      <w:sz w:val="22"/>
      <w:szCs w:val="24"/>
      <w:lang w:val="en-NZ" w:eastAsia="en-NZ"/>
    </w:rPr>
  </w:style>
  <w:style w:type="character" w:customStyle="1" w:styleId="NumtxtTextChar">
    <w:name w:val="Num txt: Text Char"/>
    <w:basedOn w:val="DefaultParagraphFont"/>
    <w:link w:val="NumtxtText"/>
    <w:rsid w:val="000E1DC5"/>
    <w:rPr>
      <w:rFonts w:ascii="Arial" w:eastAsia="Times New Roman" w:hAnsi="Arial" w:cs="Times New Roman"/>
      <w:sz w:val="22"/>
      <w:szCs w:val="24"/>
      <w:lang w:val="en-NZ" w:eastAsia="en-NZ"/>
    </w:rPr>
  </w:style>
  <w:style w:type="character" w:styleId="Hyperlink">
    <w:name w:val="Hyperlink"/>
    <w:basedOn w:val="DefaultParagraphFont"/>
    <w:uiPriority w:val="99"/>
    <w:unhideWhenUsed/>
    <w:rsid w:val="00D238CE"/>
    <w:rPr>
      <w:color w:val="0000FF" w:themeColor="hyperlink"/>
      <w:u w:val="single"/>
    </w:rPr>
  </w:style>
  <w:style w:type="character" w:customStyle="1" w:styleId="UnresolvedMention1">
    <w:name w:val="Unresolved Mention1"/>
    <w:basedOn w:val="DefaultParagraphFont"/>
    <w:uiPriority w:val="99"/>
    <w:semiHidden/>
    <w:unhideWhenUsed/>
    <w:rsid w:val="00D238CE"/>
    <w:rPr>
      <w:color w:val="808080"/>
      <w:shd w:val="clear" w:color="auto" w:fill="E6E6E6"/>
    </w:rPr>
  </w:style>
  <w:style w:type="paragraph" w:customStyle="1" w:styleId="Default">
    <w:name w:val="Default"/>
    <w:rsid w:val="0098675F"/>
    <w:pPr>
      <w:autoSpaceDE w:val="0"/>
      <w:autoSpaceDN w:val="0"/>
      <w:adjustRightInd w:val="0"/>
    </w:pPr>
    <w:rPr>
      <w:rFonts w:eastAsiaTheme="minorHAnsi" w:cs="Calibri"/>
      <w:color w:val="000000"/>
      <w:sz w:val="24"/>
      <w:szCs w:val="24"/>
      <w:lang w:val="en-NZ" w:eastAsia="en-US"/>
    </w:rPr>
  </w:style>
  <w:style w:type="paragraph" w:customStyle="1" w:styleId="Bullet">
    <w:name w:val="Bullet"/>
    <w:basedOn w:val="Normal"/>
    <w:qFormat/>
    <w:rsid w:val="004C00A1"/>
    <w:pPr>
      <w:numPr>
        <w:numId w:val="10"/>
      </w:numPr>
      <w:suppressAutoHyphens w:val="0"/>
      <w:spacing w:before="90" w:line="264" w:lineRule="auto"/>
    </w:pPr>
    <w:rPr>
      <w:rFonts w:ascii="Georgia" w:eastAsia="Times New Roman" w:hAnsi="Georgia"/>
      <w:sz w:val="22"/>
      <w:lang w:val="en-NZ" w:eastAsia="en-GB"/>
    </w:rPr>
  </w:style>
  <w:style w:type="paragraph" w:customStyle="1" w:styleId="CRPD-StateParty-footnotetext">
    <w:name w:val="CRPD - State Party - footnote text"/>
    <w:basedOn w:val="FootnoteText"/>
    <w:autoRedefine/>
    <w:qFormat/>
    <w:rsid w:val="005941BE"/>
    <w:pPr>
      <w:ind w:left="0" w:firstLine="0"/>
    </w:pPr>
  </w:style>
  <w:style w:type="character" w:styleId="FollowedHyperlink">
    <w:name w:val="FollowedHyperlink"/>
    <w:basedOn w:val="DefaultParagraphFont"/>
    <w:uiPriority w:val="99"/>
    <w:semiHidden/>
    <w:unhideWhenUsed/>
    <w:rsid w:val="000E6B5D"/>
    <w:rPr>
      <w:color w:val="800080" w:themeColor="followedHyperlink"/>
      <w:u w:val="single"/>
    </w:rPr>
  </w:style>
  <w:style w:type="paragraph" w:styleId="Caption">
    <w:name w:val="caption"/>
    <w:basedOn w:val="Normal"/>
    <w:next w:val="Normal"/>
    <w:uiPriority w:val="35"/>
    <w:unhideWhenUsed/>
    <w:qFormat/>
    <w:rsid w:val="005F390D"/>
    <w:pPr>
      <w:spacing w:after="200" w:line="240" w:lineRule="auto"/>
    </w:pPr>
    <w:rPr>
      <w:i/>
      <w:iCs/>
      <w:color w:val="1F497D" w:themeColor="text2"/>
      <w:sz w:val="18"/>
      <w:szCs w:val="18"/>
    </w:rPr>
  </w:style>
  <w:style w:type="character" w:customStyle="1" w:styleId="UnresolvedMention2">
    <w:name w:val="Unresolved Mention2"/>
    <w:basedOn w:val="DefaultParagraphFont"/>
    <w:uiPriority w:val="99"/>
    <w:semiHidden/>
    <w:unhideWhenUsed/>
    <w:rsid w:val="00FF4B60"/>
    <w:rPr>
      <w:color w:val="808080"/>
      <w:shd w:val="clear" w:color="auto" w:fill="E6E6E6"/>
    </w:rPr>
  </w:style>
  <w:style w:type="paragraph" w:styleId="TOC7">
    <w:name w:val="toc 7"/>
    <w:basedOn w:val="Normal"/>
    <w:next w:val="Normal"/>
    <w:autoRedefine/>
    <w:uiPriority w:val="39"/>
    <w:semiHidden/>
    <w:rsid w:val="00597781"/>
    <w:pPr>
      <w:suppressAutoHyphens w:val="0"/>
      <w:spacing w:after="100" w:line="240" w:lineRule="auto"/>
      <w:ind w:left="1200"/>
    </w:pPr>
    <w:rPr>
      <w:rFonts w:ascii="Calibri" w:eastAsiaTheme="minorHAnsi" w:hAnsi="Calibri" w:cs="Calibri"/>
      <w:sz w:val="22"/>
      <w:szCs w:val="22"/>
      <w:lang w:val="en-NZ"/>
    </w:rPr>
  </w:style>
  <w:style w:type="paragraph" w:customStyle="1" w:styleId="CRPD-Sectionheading">
    <w:name w:val="CRPD - Section heading"/>
    <w:basedOn w:val="H1G"/>
    <w:link w:val="CRPD-SectionheadingChar"/>
    <w:qFormat/>
    <w:rsid w:val="00D437E6"/>
    <w:rPr>
      <w:rFonts w:ascii="Verdana" w:hAnsi="Verdana"/>
    </w:rPr>
  </w:style>
  <w:style w:type="paragraph" w:customStyle="1" w:styleId="CRPD-Questionstyle">
    <w:name w:val="CRPD - Question style"/>
    <w:basedOn w:val="SingleTxtG"/>
    <w:link w:val="CRPD-QuestionstyleChar"/>
    <w:qFormat/>
    <w:rsid w:val="00972A92"/>
    <w:rPr>
      <w:rFonts w:ascii="Verdana" w:hAnsi="Verdana"/>
      <w:b/>
      <w:sz w:val="24"/>
    </w:rPr>
  </w:style>
  <w:style w:type="character" w:customStyle="1" w:styleId="H1GChar">
    <w:name w:val="_ H_1_G Char"/>
    <w:basedOn w:val="DefaultParagraphFont"/>
    <w:link w:val="H1G"/>
    <w:rsid w:val="00D437E6"/>
    <w:rPr>
      <w:rFonts w:ascii="Times New Roman" w:hAnsi="Times New Roman" w:cs="Times New Roman"/>
      <w:b/>
      <w:sz w:val="24"/>
      <w:lang w:eastAsia="zh-CN"/>
    </w:rPr>
  </w:style>
  <w:style w:type="character" w:customStyle="1" w:styleId="CRPD-SectionheadingChar">
    <w:name w:val="CRPD - Section heading Char"/>
    <w:basedOn w:val="H1GChar"/>
    <w:link w:val="CRPD-Sectionheading"/>
    <w:rsid w:val="00D437E6"/>
    <w:rPr>
      <w:rFonts w:ascii="Verdana" w:hAnsi="Verdana" w:cs="Times New Roman"/>
      <w:b/>
      <w:sz w:val="24"/>
      <w:lang w:eastAsia="zh-CN"/>
    </w:rPr>
  </w:style>
  <w:style w:type="paragraph" w:customStyle="1" w:styleId="CRPD-subsectionheading">
    <w:name w:val="CRPD - subsection heading"/>
    <w:basedOn w:val="H23G"/>
    <w:autoRedefine/>
    <w:uiPriority w:val="99"/>
    <w:qFormat/>
    <w:rsid w:val="003A486D"/>
    <w:pPr>
      <w:keepNext w:val="0"/>
      <w:widowControl w:val="0"/>
      <w:numPr>
        <w:numId w:val="14"/>
      </w:numPr>
      <w:jc w:val="both"/>
    </w:pPr>
    <w:rPr>
      <w:rFonts w:ascii="Verdana" w:eastAsia="Calibri" w:hAnsi="Verdana" w:cs="Arial"/>
      <w:b w:val="0"/>
      <w:sz w:val="24"/>
      <w:lang w:val="en-NZ"/>
    </w:rPr>
  </w:style>
  <w:style w:type="character" w:customStyle="1" w:styleId="CRPD-QuestionstyleChar">
    <w:name w:val="CRPD - Question style Char"/>
    <w:basedOn w:val="SingleTxtGChar"/>
    <w:link w:val="CRPD-Questionstyle"/>
    <w:rsid w:val="00972A92"/>
    <w:rPr>
      <w:rFonts w:ascii="Verdana" w:hAnsi="Verdana" w:cs="Times New Roman"/>
      <w:b/>
      <w:sz w:val="24"/>
      <w:szCs w:val="20"/>
      <w:lang w:eastAsia="zh-CN"/>
    </w:rPr>
  </w:style>
  <w:style w:type="paragraph" w:customStyle="1" w:styleId="CRPD-bodyunderlined">
    <w:name w:val="CRPD - body underlined"/>
    <w:basedOn w:val="CRPDSoP-Body"/>
    <w:autoRedefine/>
    <w:qFormat/>
    <w:rsid w:val="005224B3"/>
    <w:rPr>
      <w:u w:val="single"/>
    </w:rPr>
  </w:style>
  <w:style w:type="character" w:customStyle="1" w:styleId="UnresolvedMention">
    <w:name w:val="Unresolved Mention"/>
    <w:basedOn w:val="DefaultParagraphFont"/>
    <w:uiPriority w:val="99"/>
    <w:semiHidden/>
    <w:unhideWhenUsed/>
    <w:rsid w:val="007E03FC"/>
    <w:rPr>
      <w:color w:val="808080"/>
      <w:shd w:val="clear" w:color="auto" w:fill="E6E6E6"/>
    </w:rPr>
  </w:style>
  <w:style w:type="paragraph" w:styleId="List5">
    <w:name w:val="List 5"/>
    <w:basedOn w:val="Normal"/>
    <w:uiPriority w:val="99"/>
    <w:semiHidden/>
    <w:rsid w:val="00BA0000"/>
    <w:pPr>
      <w:numPr>
        <w:ilvl w:val="4"/>
        <w:numId w:val="12"/>
      </w:numPr>
      <w:suppressAutoHyphens w:val="0"/>
      <w:spacing w:after="120" w:line="288" w:lineRule="auto"/>
      <w:contextualSpacing/>
    </w:pPr>
    <w:rPr>
      <w:rFonts w:ascii="Verdana" w:eastAsia="Calibri" w:hAnsi="Verdana" w:cs="Arial"/>
      <w:szCs w:val="22"/>
      <w:lang w:val="en-NZ"/>
    </w:rPr>
  </w:style>
  <w:style w:type="paragraph" w:styleId="List">
    <w:name w:val="List"/>
    <w:basedOn w:val="Normal"/>
    <w:uiPriority w:val="99"/>
    <w:rsid w:val="00BA0000"/>
    <w:pPr>
      <w:numPr>
        <w:numId w:val="12"/>
      </w:numPr>
      <w:suppressAutoHyphens w:val="0"/>
      <w:spacing w:after="120" w:line="288" w:lineRule="auto"/>
      <w:ind w:left="454" w:hanging="454"/>
    </w:pPr>
    <w:rPr>
      <w:rFonts w:ascii="Verdana" w:eastAsia="Calibri" w:hAnsi="Verdana" w:cs="Arial"/>
      <w:szCs w:val="22"/>
      <w:lang w:val="en-NZ"/>
    </w:rPr>
  </w:style>
  <w:style w:type="paragraph" w:styleId="List2">
    <w:name w:val="List 2"/>
    <w:basedOn w:val="Normal"/>
    <w:uiPriority w:val="99"/>
    <w:rsid w:val="00BA0000"/>
    <w:pPr>
      <w:numPr>
        <w:ilvl w:val="1"/>
        <w:numId w:val="12"/>
      </w:numPr>
      <w:suppressAutoHyphens w:val="0"/>
      <w:spacing w:after="120" w:line="288" w:lineRule="auto"/>
      <w:ind w:left="908" w:hanging="454"/>
    </w:pPr>
    <w:rPr>
      <w:rFonts w:ascii="Verdana" w:eastAsia="Calibri" w:hAnsi="Verdana" w:cs="Arial"/>
      <w:szCs w:val="22"/>
      <w:lang w:val="en-NZ"/>
    </w:rPr>
  </w:style>
  <w:style w:type="paragraph" w:customStyle="1" w:styleId="ParNoG">
    <w:name w:val="_ParNo_G"/>
    <w:basedOn w:val="SingleTxtG"/>
    <w:qFormat/>
    <w:rsid w:val="005D2EB2"/>
    <w:pPr>
      <w:numPr>
        <w:numId w:val="13"/>
      </w:numPr>
      <w:kinsoku w:val="0"/>
      <w:overflowPunct w:val="0"/>
      <w:autoSpaceDE w:val="0"/>
      <w:autoSpaceDN w:val="0"/>
      <w:adjustRightInd w:val="0"/>
      <w:snapToGrid w:val="0"/>
    </w:pPr>
    <w:rPr>
      <w:rFonts w:eastAsia="Times New Roman"/>
      <w:lang w:eastAsia="en-US"/>
    </w:rPr>
  </w:style>
  <w:style w:type="table" w:customStyle="1" w:styleId="TableGridLight1">
    <w:name w:val="Table Grid Light1"/>
    <w:basedOn w:val="TableNormal"/>
    <w:uiPriority w:val="40"/>
    <w:rsid w:val="00C47586"/>
    <w:rPr>
      <w:rFonts w:asciiTheme="minorHAnsi" w:eastAsiaTheme="minorHAnsi" w:hAnsiTheme="minorHAnsi" w:cstheme="minorBidi"/>
      <w:sz w:val="22"/>
      <w:szCs w:val="22"/>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fuvd">
    <w:name w:val="ilfuvd"/>
    <w:basedOn w:val="DefaultParagraphFont"/>
    <w:rsid w:val="00245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3EAB"/>
    <w:pPr>
      <w:suppressAutoHyphens/>
      <w:spacing w:line="240" w:lineRule="atLeast"/>
    </w:pPr>
    <w:rPr>
      <w:rFonts w:ascii="Times New Roman" w:hAnsi="Times New Roman" w:cs="Times New Roman"/>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lang w:eastAsia="zh-CN"/>
    </w:rPr>
  </w:style>
  <w:style w:type="paragraph" w:styleId="Heading3">
    <w:name w:val="heading 3"/>
    <w:basedOn w:val="Normal"/>
    <w:next w:val="Normal"/>
    <w:link w:val="Heading3Char"/>
    <w:semiHidden/>
    <w:rsid w:val="007268F9"/>
    <w:pPr>
      <w:spacing w:line="240" w:lineRule="auto"/>
      <w:outlineLvl w:val="2"/>
    </w:pPr>
    <w:rPr>
      <w:lang w:eastAsia="zh-CN"/>
    </w:rPr>
  </w:style>
  <w:style w:type="paragraph" w:styleId="Heading4">
    <w:name w:val="heading 4"/>
    <w:basedOn w:val="Normal"/>
    <w:next w:val="Normal"/>
    <w:link w:val="Heading4Char"/>
    <w:semiHidden/>
    <w:rsid w:val="007268F9"/>
    <w:pPr>
      <w:spacing w:line="240" w:lineRule="auto"/>
      <w:outlineLvl w:val="3"/>
    </w:pPr>
    <w:rPr>
      <w:lang w:eastAsia="zh-CN"/>
    </w:rPr>
  </w:style>
  <w:style w:type="paragraph" w:styleId="Heading5">
    <w:name w:val="heading 5"/>
    <w:basedOn w:val="Normal"/>
    <w:next w:val="Normal"/>
    <w:link w:val="Heading5Char"/>
    <w:semiHidden/>
    <w:rsid w:val="007268F9"/>
    <w:pPr>
      <w:spacing w:line="240" w:lineRule="auto"/>
      <w:outlineLvl w:val="4"/>
    </w:pPr>
    <w:rPr>
      <w:lang w:eastAsia="zh-CN"/>
    </w:rPr>
  </w:style>
  <w:style w:type="paragraph" w:styleId="Heading6">
    <w:name w:val="heading 6"/>
    <w:basedOn w:val="Normal"/>
    <w:next w:val="Normal"/>
    <w:link w:val="Heading6Char"/>
    <w:semiHidden/>
    <w:rsid w:val="007268F9"/>
    <w:pPr>
      <w:spacing w:line="240" w:lineRule="auto"/>
      <w:outlineLvl w:val="5"/>
    </w:pPr>
    <w:rPr>
      <w:lang w:eastAsia="zh-CN"/>
    </w:rPr>
  </w:style>
  <w:style w:type="paragraph" w:styleId="Heading7">
    <w:name w:val="heading 7"/>
    <w:basedOn w:val="Normal"/>
    <w:next w:val="Normal"/>
    <w:link w:val="Heading7Char"/>
    <w:semiHidden/>
    <w:rsid w:val="007268F9"/>
    <w:pPr>
      <w:spacing w:line="240" w:lineRule="auto"/>
      <w:outlineLvl w:val="6"/>
    </w:pPr>
    <w:rPr>
      <w:lang w:eastAsia="zh-CN"/>
    </w:rPr>
  </w:style>
  <w:style w:type="paragraph" w:styleId="Heading8">
    <w:name w:val="heading 8"/>
    <w:basedOn w:val="Normal"/>
    <w:next w:val="Normal"/>
    <w:link w:val="Heading8Char"/>
    <w:semiHidden/>
    <w:rsid w:val="007268F9"/>
    <w:pPr>
      <w:spacing w:line="240" w:lineRule="auto"/>
      <w:outlineLvl w:val="7"/>
    </w:pPr>
    <w:rPr>
      <w:lang w:eastAsia="zh-CN"/>
    </w:rPr>
  </w:style>
  <w:style w:type="paragraph" w:styleId="Heading9">
    <w:name w:val="heading 9"/>
    <w:basedOn w:val="Normal"/>
    <w:next w:val="Normal"/>
    <w:link w:val="Heading9Char"/>
    <w:semiHidden/>
    <w:rsid w:val="007268F9"/>
    <w:pPr>
      <w:spacing w:line="240" w:lineRule="auto"/>
      <w:outlineLvl w:val="8"/>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b/>
      <w:sz w:val="18"/>
      <w:lang w:eastAsia="zh-CN"/>
    </w:rPr>
  </w:style>
  <w:style w:type="character" w:customStyle="1" w:styleId="HeaderChar">
    <w:name w:val="Header Char"/>
    <w:aliases w:val="6_G Char"/>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sz w:val="16"/>
      <w:lang w:eastAsia="zh-CN"/>
    </w:rPr>
  </w:style>
  <w:style w:type="character" w:customStyle="1" w:styleId="FooterChar">
    <w:name w:val="Footer Char"/>
    <w:aliases w:val="3_G Char"/>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lang w:eastAsia="zh-CN"/>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lang w:eastAsia="zh-CN"/>
    </w:rPr>
  </w:style>
  <w:style w:type="paragraph" w:customStyle="1" w:styleId="H1G">
    <w:name w:val="_ H_1_G"/>
    <w:basedOn w:val="Normal"/>
    <w:next w:val="Normal"/>
    <w:link w:val="H1GChar"/>
    <w:rsid w:val="007268F9"/>
    <w:pPr>
      <w:keepNext/>
      <w:keepLines/>
      <w:tabs>
        <w:tab w:val="right" w:pos="851"/>
      </w:tabs>
      <w:spacing w:before="360" w:after="240" w:line="270" w:lineRule="exact"/>
      <w:ind w:left="1134" w:right="1134" w:hanging="1134"/>
    </w:pPr>
    <w:rPr>
      <w:b/>
      <w:sz w:val="24"/>
      <w:lang w:eastAsia="zh-CN"/>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lang w:eastAsia="zh-CN"/>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lang w:eastAsia="zh-CN"/>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rPr>
      <w:lang w:eastAsia="zh-CN"/>
    </w:rPr>
  </w:style>
  <w:style w:type="paragraph" w:customStyle="1" w:styleId="SingleTxtG">
    <w:name w:val="_ Single Txt_G"/>
    <w:basedOn w:val="Normal"/>
    <w:link w:val="SingleTxtGChar"/>
    <w:rsid w:val="007268F9"/>
    <w:pPr>
      <w:spacing w:after="120"/>
      <w:ind w:left="1134" w:right="1134"/>
      <w:jc w:val="both"/>
    </w:pPr>
    <w:rPr>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lang w:eastAsia="zh-CN"/>
    </w:rPr>
  </w:style>
  <w:style w:type="paragraph" w:customStyle="1" w:styleId="SMG">
    <w:name w:val="__S_M_G"/>
    <w:basedOn w:val="Normal"/>
    <w:next w:val="Normal"/>
    <w:rsid w:val="007268F9"/>
    <w:pPr>
      <w:keepNext/>
      <w:keepLines/>
      <w:spacing w:before="240" w:after="240" w:line="420" w:lineRule="exact"/>
      <w:ind w:left="1134" w:right="1134"/>
    </w:pPr>
    <w:rPr>
      <w:b/>
      <w:sz w:val="40"/>
      <w:lang w:eastAsia="zh-CN"/>
    </w:rPr>
  </w:style>
  <w:style w:type="paragraph" w:customStyle="1" w:styleId="SSG">
    <w:name w:val="__S_S_G"/>
    <w:basedOn w:val="Normal"/>
    <w:next w:val="Normal"/>
    <w:rsid w:val="007268F9"/>
    <w:pPr>
      <w:keepNext/>
      <w:keepLines/>
      <w:spacing w:before="240" w:after="240" w:line="300" w:lineRule="exact"/>
      <w:ind w:left="1134" w:right="1134"/>
    </w:pPr>
    <w:rPr>
      <w:b/>
      <w:sz w:val="28"/>
      <w:lang w:eastAsia="zh-CN"/>
    </w:rPr>
  </w:style>
  <w:style w:type="paragraph" w:customStyle="1" w:styleId="XLargeG">
    <w:name w:val="__XLarge_G"/>
    <w:basedOn w:val="Normal"/>
    <w:next w:val="Normal"/>
    <w:rsid w:val="007268F9"/>
    <w:pPr>
      <w:keepNext/>
      <w:keepLines/>
      <w:spacing w:before="240" w:after="240" w:line="420" w:lineRule="exact"/>
      <w:ind w:left="1134" w:right="1134"/>
    </w:pPr>
    <w:rPr>
      <w:b/>
      <w:sz w:val="40"/>
      <w:lang w:eastAsia="zh-CN"/>
    </w:rPr>
  </w:style>
  <w:style w:type="paragraph" w:customStyle="1" w:styleId="Bullet1G">
    <w:name w:val="_Bullet 1_G"/>
    <w:basedOn w:val="Normal"/>
    <w:rsid w:val="007268F9"/>
    <w:pPr>
      <w:numPr>
        <w:numId w:val="1"/>
      </w:numPr>
      <w:spacing w:after="120"/>
      <w:ind w:right="1134"/>
      <w:jc w:val="both"/>
    </w:pPr>
    <w:rPr>
      <w:lang w:eastAsia="zh-CN"/>
    </w:rPr>
  </w:style>
  <w:style w:type="paragraph" w:customStyle="1" w:styleId="Bullet2G">
    <w:name w:val="_Bullet 2_G"/>
    <w:basedOn w:val="Normal"/>
    <w:rsid w:val="007268F9"/>
    <w:pPr>
      <w:numPr>
        <w:numId w:val="2"/>
      </w:numPr>
      <w:spacing w:after="120"/>
      <w:ind w:right="1134"/>
      <w:jc w:val="both"/>
    </w:pPr>
    <w:rPr>
      <w:lang w:eastAsia="zh-CN"/>
    </w:r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4"/>
      </w:numPr>
    </w:pPr>
  </w:style>
  <w:style w:type="numbering" w:styleId="1ai">
    <w:name w:val="Outline List 1"/>
    <w:basedOn w:val="NoList"/>
    <w:semiHidden/>
    <w:rsid w:val="007268F9"/>
    <w:pPr>
      <w:numPr>
        <w:numId w:val="5"/>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uiPriority w:val="99"/>
    <w:qFormat/>
    <w:rsid w:val="005C6961"/>
    <w:pPr>
      <w:tabs>
        <w:tab w:val="right" w:pos="1021"/>
      </w:tabs>
      <w:spacing w:line="220" w:lineRule="exact"/>
      <w:ind w:left="567" w:right="1134" w:hanging="567"/>
    </w:pPr>
    <w:rPr>
      <w:sz w:val="18"/>
      <w:lang w:eastAsia="zh-CN"/>
    </w:rPr>
  </w:style>
  <w:style w:type="character" w:customStyle="1" w:styleId="FootnoteTextChar">
    <w:name w:val="Footnote Text Char"/>
    <w:aliases w:val="5_G Char"/>
    <w:link w:val="FootnoteText"/>
    <w:uiPriority w:val="99"/>
    <w:rsid w:val="005C6961"/>
    <w:rPr>
      <w:rFonts w:ascii="Times New Roman" w:hAnsi="Times New Roman" w:cs="Times New Roman"/>
      <w:sz w:val="18"/>
      <w:lang w:eastAsia="zh-CN"/>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link w:val="EndnoteText"/>
    <w:rsid w:val="007268F9"/>
    <w:rPr>
      <w:rFonts w:ascii="Times New Roman" w:eastAsia="SimSun" w:hAnsi="Times New Roman" w:cs="Times New Roman"/>
      <w:sz w:val="18"/>
      <w:szCs w:val="20"/>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uiPriority w:val="99"/>
    <w:qFormat/>
    <w:rsid w:val="007268F9"/>
    <w:rPr>
      <w:rFonts w:ascii="Times New Roman" w:hAnsi="Times New Roman"/>
      <w:sz w:val="18"/>
      <w:vertAlign w:val="superscript"/>
    </w:rPr>
  </w:style>
  <w:style w:type="character" w:customStyle="1" w:styleId="Heading1Char">
    <w:name w:val="Heading 1 Char"/>
    <w:aliases w:val="Table_G Char"/>
    <w:link w:val="Heading1"/>
    <w:semiHidden/>
    <w:rsid w:val="003B4550"/>
    <w:rPr>
      <w:rFonts w:ascii="Times New Roman" w:hAnsi="Times New Roman" w:cs="Times New Roman"/>
      <w:sz w:val="20"/>
      <w:szCs w:val="20"/>
    </w:rPr>
  </w:style>
  <w:style w:type="character" w:customStyle="1" w:styleId="Heading2Char">
    <w:name w:val="Heading 2 Char"/>
    <w:link w:val="Heading2"/>
    <w:semiHidden/>
    <w:rsid w:val="003B4550"/>
    <w:rPr>
      <w:rFonts w:ascii="Times New Roman" w:hAnsi="Times New Roman" w:cs="Times New Roman"/>
      <w:sz w:val="20"/>
      <w:szCs w:val="20"/>
    </w:rPr>
  </w:style>
  <w:style w:type="character" w:customStyle="1" w:styleId="Heading3Char">
    <w:name w:val="Heading 3 Char"/>
    <w:link w:val="Heading3"/>
    <w:semiHidden/>
    <w:rsid w:val="003B4550"/>
    <w:rPr>
      <w:rFonts w:ascii="Times New Roman" w:hAnsi="Times New Roman" w:cs="Times New Roman"/>
      <w:sz w:val="20"/>
      <w:szCs w:val="20"/>
    </w:rPr>
  </w:style>
  <w:style w:type="character" w:customStyle="1" w:styleId="Heading4Char">
    <w:name w:val="Heading 4 Char"/>
    <w:link w:val="Heading4"/>
    <w:rsid w:val="003B4550"/>
    <w:rPr>
      <w:rFonts w:ascii="Times New Roman" w:hAnsi="Times New Roman" w:cs="Times New Roman"/>
      <w:sz w:val="20"/>
      <w:szCs w:val="20"/>
    </w:rPr>
  </w:style>
  <w:style w:type="character" w:customStyle="1" w:styleId="Heading5Char">
    <w:name w:val="Heading 5 Char"/>
    <w:link w:val="Heading5"/>
    <w:semiHidden/>
    <w:rsid w:val="003B4550"/>
    <w:rPr>
      <w:rFonts w:ascii="Times New Roman" w:hAnsi="Times New Roman" w:cs="Times New Roman"/>
      <w:sz w:val="20"/>
      <w:szCs w:val="20"/>
    </w:rPr>
  </w:style>
  <w:style w:type="character" w:customStyle="1" w:styleId="Heading6Char">
    <w:name w:val="Heading 6 Char"/>
    <w:link w:val="Heading6"/>
    <w:semiHidden/>
    <w:rsid w:val="003B4550"/>
    <w:rPr>
      <w:rFonts w:ascii="Times New Roman" w:hAnsi="Times New Roman" w:cs="Times New Roman"/>
      <w:sz w:val="20"/>
      <w:szCs w:val="20"/>
    </w:rPr>
  </w:style>
  <w:style w:type="character" w:customStyle="1" w:styleId="Heading7Char">
    <w:name w:val="Heading 7 Char"/>
    <w:link w:val="Heading7"/>
    <w:semiHidden/>
    <w:rsid w:val="003B4550"/>
    <w:rPr>
      <w:rFonts w:ascii="Times New Roman" w:hAnsi="Times New Roman" w:cs="Times New Roman"/>
      <w:sz w:val="20"/>
      <w:szCs w:val="20"/>
    </w:rPr>
  </w:style>
  <w:style w:type="character" w:customStyle="1" w:styleId="Heading8Char">
    <w:name w:val="Heading 8 Char"/>
    <w:link w:val="Heading8"/>
    <w:semiHidden/>
    <w:rsid w:val="003B4550"/>
    <w:rPr>
      <w:rFonts w:ascii="Times New Roman" w:hAnsi="Times New Roman" w:cs="Times New Roman"/>
      <w:sz w:val="20"/>
      <w:szCs w:val="20"/>
    </w:rPr>
  </w:style>
  <w:style w:type="character" w:customStyle="1" w:styleId="Heading9Char">
    <w:name w:val="Heading 9 Char"/>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uiPriority w:val="33"/>
    <w:semiHidden/>
    <w:rsid w:val="007268F9"/>
    <w:rPr>
      <w:b/>
      <w:bCs/>
      <w:smallCaps/>
      <w:spacing w:val="5"/>
    </w:rPr>
  </w:style>
  <w:style w:type="table" w:styleId="TableGrid">
    <w:name w:val="Table Grid"/>
    <w:basedOn w:val="TableNormal"/>
    <w:uiPriority w:val="39"/>
    <w:rsid w:val="00C9007B"/>
    <w:pPr>
      <w:suppressAutoHyphens/>
      <w:spacing w:line="240" w:lineRule="atLeast"/>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07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9007B"/>
    <w:rPr>
      <w:rFonts w:ascii="Tahoma" w:hAnsi="Tahoma" w:cs="Tahoma"/>
      <w:sz w:val="16"/>
      <w:szCs w:val="16"/>
      <w:lang w:eastAsia="en-US"/>
    </w:rPr>
  </w:style>
  <w:style w:type="character" w:customStyle="1" w:styleId="SingleTxtGChar">
    <w:name w:val="_ Single Txt_G Char"/>
    <w:link w:val="SingleTxtG"/>
    <w:rsid w:val="006E4390"/>
    <w:rPr>
      <w:rFonts w:ascii="Times New Roman" w:hAnsi="Times New Roman" w:cs="Times New Roman"/>
      <w:sz w:val="20"/>
      <w:szCs w:val="20"/>
    </w:rPr>
  </w:style>
  <w:style w:type="paragraph" w:styleId="NormalWeb">
    <w:name w:val="Normal (Web)"/>
    <w:basedOn w:val="Normal"/>
    <w:uiPriority w:val="99"/>
    <w:semiHidden/>
    <w:unhideWhenUsed/>
    <w:rsid w:val="000D4A2B"/>
    <w:pPr>
      <w:suppressAutoHyphens w:val="0"/>
      <w:spacing w:before="100" w:beforeAutospacing="1" w:after="100" w:afterAutospacing="1" w:line="240" w:lineRule="auto"/>
    </w:pPr>
    <w:rPr>
      <w:rFonts w:eastAsia="Times New Roman"/>
      <w:sz w:val="24"/>
      <w:szCs w:val="24"/>
      <w:lang w:val="en-US"/>
    </w:rPr>
  </w:style>
  <w:style w:type="character" w:styleId="CommentReference">
    <w:name w:val="annotation reference"/>
    <w:basedOn w:val="DefaultParagraphFont"/>
    <w:uiPriority w:val="99"/>
    <w:semiHidden/>
    <w:unhideWhenUsed/>
    <w:rsid w:val="00482C95"/>
    <w:rPr>
      <w:sz w:val="16"/>
      <w:szCs w:val="16"/>
    </w:rPr>
  </w:style>
  <w:style w:type="paragraph" w:styleId="CommentText">
    <w:name w:val="annotation text"/>
    <w:basedOn w:val="Normal"/>
    <w:link w:val="CommentTextChar"/>
    <w:uiPriority w:val="99"/>
    <w:unhideWhenUsed/>
    <w:rsid w:val="00482C95"/>
    <w:pPr>
      <w:spacing w:line="240" w:lineRule="auto"/>
    </w:pPr>
  </w:style>
  <w:style w:type="character" w:customStyle="1" w:styleId="CommentTextChar">
    <w:name w:val="Comment Text Char"/>
    <w:basedOn w:val="DefaultParagraphFont"/>
    <w:link w:val="CommentText"/>
    <w:uiPriority w:val="99"/>
    <w:rsid w:val="00482C95"/>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482C95"/>
    <w:rPr>
      <w:b/>
      <w:bCs/>
    </w:rPr>
  </w:style>
  <w:style w:type="character" w:customStyle="1" w:styleId="CommentSubjectChar">
    <w:name w:val="Comment Subject Char"/>
    <w:basedOn w:val="CommentTextChar"/>
    <w:link w:val="CommentSubject"/>
    <w:uiPriority w:val="99"/>
    <w:semiHidden/>
    <w:rsid w:val="00482C95"/>
    <w:rPr>
      <w:rFonts w:ascii="Times New Roman" w:hAnsi="Times New Roman" w:cs="Times New Roman"/>
      <w:b/>
      <w:bCs/>
      <w:lang w:eastAsia="en-US"/>
    </w:rPr>
  </w:style>
  <w:style w:type="paragraph" w:styleId="ListParagraph">
    <w:name w:val="List Paragraph"/>
    <w:aliases w:val="List Paragraph numbered,List Paragraph1,List Bullet indent,Body,Level 3,Rec para,Bullet List,FooterText,numbered,Paragraphe de liste1,Bulletr List Paragraph,列出段落,列出段落1,Listeafsnit1,Parágrafo da Lista1,List Paragraph2,List Paragraph21"/>
    <w:basedOn w:val="Normal"/>
    <w:link w:val="ListParagraphChar"/>
    <w:uiPriority w:val="34"/>
    <w:qFormat/>
    <w:rsid w:val="00537AD2"/>
    <w:pPr>
      <w:suppressAutoHyphens w:val="0"/>
      <w:spacing w:after="120" w:line="288" w:lineRule="auto"/>
      <w:ind w:left="720"/>
      <w:contextualSpacing/>
    </w:pPr>
    <w:rPr>
      <w:rFonts w:ascii="Verdana" w:eastAsia="Calibri" w:hAnsi="Verdana" w:cs="Arial"/>
      <w:szCs w:val="22"/>
      <w:lang w:val="en-NZ"/>
    </w:rPr>
  </w:style>
  <w:style w:type="paragraph" w:customStyle="1" w:styleId="Bullet1">
    <w:name w:val="Bullet1"/>
    <w:basedOn w:val="Normal"/>
    <w:uiPriority w:val="4"/>
    <w:qFormat/>
    <w:rsid w:val="00537AD2"/>
    <w:pPr>
      <w:numPr>
        <w:numId w:val="7"/>
      </w:numPr>
      <w:tabs>
        <w:tab w:val="left" w:pos="454"/>
      </w:tabs>
      <w:autoSpaceDE w:val="0"/>
      <w:autoSpaceDN w:val="0"/>
      <w:adjustRightInd w:val="0"/>
      <w:spacing w:after="120" w:line="288" w:lineRule="auto"/>
      <w:ind w:left="567" w:hanging="567"/>
      <w:textAlignment w:val="center"/>
    </w:pPr>
    <w:rPr>
      <w:rFonts w:ascii="Verdana" w:eastAsia="Times New Roman" w:hAnsi="Verdana" w:cs="Arial"/>
      <w:kern w:val="28"/>
      <w:lang w:val="en-US"/>
    </w:rPr>
  </w:style>
  <w:style w:type="character" w:customStyle="1" w:styleId="ListParagraphChar">
    <w:name w:val="List Paragraph Char"/>
    <w:aliases w:val="List Paragraph numbered Char,List Paragraph1 Char,List Bullet indent Char,Body Char,Level 3 Char,Rec para Char,Bullet List Char,FooterText Char,numbered Char,Paragraphe de liste1 Char,Bulletr List Paragraph Char,列出段落 Char,列出段落1 Char"/>
    <w:basedOn w:val="DefaultParagraphFont"/>
    <w:link w:val="ListParagraph"/>
    <w:uiPriority w:val="34"/>
    <w:qFormat/>
    <w:locked/>
    <w:rsid w:val="00537AD2"/>
    <w:rPr>
      <w:rFonts w:ascii="Verdana" w:eastAsia="Calibri" w:hAnsi="Verdana"/>
      <w:szCs w:val="22"/>
      <w:lang w:val="en-NZ" w:eastAsia="en-US"/>
    </w:rPr>
  </w:style>
  <w:style w:type="paragraph" w:customStyle="1" w:styleId="CRPDSoP-Body">
    <w:name w:val="CRPD SoP - Body"/>
    <w:basedOn w:val="SingleTxtG"/>
    <w:link w:val="CRPDSoP-BodyChar"/>
    <w:qFormat/>
    <w:rsid w:val="00430ADF"/>
    <w:pPr>
      <w:tabs>
        <w:tab w:val="left" w:pos="6750"/>
      </w:tabs>
      <w:ind w:left="1170"/>
    </w:pPr>
    <w:rPr>
      <w:rFonts w:ascii="Verdana" w:eastAsia="Calibri" w:hAnsi="Verdana" w:cs="Arial"/>
      <w:noProof/>
      <w:lang w:val="en-NZ"/>
    </w:rPr>
  </w:style>
  <w:style w:type="paragraph" w:customStyle="1" w:styleId="CRPDStateParty-bullets">
    <w:name w:val="CRPD State Party - bullets"/>
    <w:basedOn w:val="SingleTxtG"/>
    <w:qFormat/>
    <w:rsid w:val="00972A92"/>
    <w:pPr>
      <w:numPr>
        <w:numId w:val="6"/>
      </w:numPr>
    </w:pPr>
    <w:rPr>
      <w:rFonts w:ascii="Verdana" w:hAnsi="Verdana"/>
      <w:sz w:val="24"/>
    </w:rPr>
  </w:style>
  <w:style w:type="paragraph" w:customStyle="1" w:styleId="CRPDStateParty-indentedbullets">
    <w:name w:val="CRPD State Party - indented bullets"/>
    <w:basedOn w:val="CRPDStateParty-bullets"/>
    <w:autoRedefine/>
    <w:qFormat/>
    <w:rsid w:val="00104387"/>
    <w:pPr>
      <w:numPr>
        <w:ilvl w:val="2"/>
        <w:numId w:val="16"/>
      </w:numPr>
    </w:pPr>
  </w:style>
  <w:style w:type="paragraph" w:customStyle="1" w:styleId="CRPD-StateParty-replyheading">
    <w:name w:val="CRPD - State Party - reply heading"/>
    <w:basedOn w:val="SingleTxtG"/>
    <w:autoRedefine/>
    <w:qFormat/>
    <w:rsid w:val="002B2D60"/>
    <w:pPr>
      <w:keepNext/>
      <w:ind w:left="1170" w:right="1138"/>
    </w:pPr>
    <w:rPr>
      <w:rFonts w:ascii="Verdana" w:hAnsi="Verdana"/>
      <w:noProof/>
      <w:sz w:val="22"/>
      <w:u w:val="single"/>
    </w:rPr>
  </w:style>
  <w:style w:type="paragraph" w:customStyle="1" w:styleId="CRPDStateParty-bodyitalics">
    <w:name w:val="CRPD State Party - body italics"/>
    <w:basedOn w:val="CRPDSoP-Body"/>
    <w:link w:val="CRPDStateParty-bodyitalicsChar"/>
    <w:autoRedefine/>
    <w:qFormat/>
    <w:rsid w:val="00972A92"/>
    <w:rPr>
      <w:i/>
      <w:sz w:val="24"/>
    </w:rPr>
  </w:style>
  <w:style w:type="character" w:customStyle="1" w:styleId="CRPDSoP-BodyChar">
    <w:name w:val="CRPD SoP - Body Char"/>
    <w:basedOn w:val="SingleTxtGChar"/>
    <w:link w:val="CRPDSoP-Body"/>
    <w:rsid w:val="00430ADF"/>
    <w:rPr>
      <w:rFonts w:ascii="Verdana" w:eastAsia="Calibri" w:hAnsi="Verdana" w:cs="Times New Roman"/>
      <w:noProof/>
      <w:sz w:val="20"/>
      <w:szCs w:val="20"/>
      <w:lang w:val="en-NZ" w:eastAsia="zh-CN"/>
    </w:rPr>
  </w:style>
  <w:style w:type="character" w:customStyle="1" w:styleId="CRPDStateParty-bodyitalicsChar">
    <w:name w:val="CRPD State Party - body italics Char"/>
    <w:basedOn w:val="CRPDSoP-BodyChar"/>
    <w:link w:val="CRPDStateParty-bodyitalics"/>
    <w:rsid w:val="00972A92"/>
    <w:rPr>
      <w:rFonts w:ascii="Verdana" w:eastAsia="Calibri" w:hAnsi="Verdana" w:cs="Times New Roman"/>
      <w:i/>
      <w:noProof/>
      <w:sz w:val="24"/>
      <w:szCs w:val="20"/>
      <w:lang w:val="en-NZ" w:eastAsia="zh-CN"/>
    </w:rPr>
  </w:style>
  <w:style w:type="paragraph" w:styleId="Revision">
    <w:name w:val="Revision"/>
    <w:hidden/>
    <w:uiPriority w:val="99"/>
    <w:semiHidden/>
    <w:rsid w:val="00A05B08"/>
    <w:rPr>
      <w:rFonts w:ascii="Times New Roman" w:hAnsi="Times New Roman" w:cs="Times New Roman"/>
      <w:lang w:eastAsia="en-US"/>
    </w:rPr>
  </w:style>
  <w:style w:type="paragraph" w:styleId="NoSpacing">
    <w:name w:val="No Spacing"/>
    <w:basedOn w:val="BodyText"/>
    <w:uiPriority w:val="1"/>
    <w:qFormat/>
    <w:rsid w:val="00500D85"/>
    <w:pPr>
      <w:suppressAutoHyphens w:val="0"/>
      <w:spacing w:line="288" w:lineRule="auto"/>
    </w:pPr>
    <w:rPr>
      <w:rFonts w:ascii="Verdana" w:eastAsia="Calibri" w:hAnsi="Verdana" w:cs="Arial"/>
      <w:szCs w:val="22"/>
      <w:lang w:val="en-NZ"/>
    </w:rPr>
  </w:style>
  <w:style w:type="paragraph" w:styleId="BodyText">
    <w:name w:val="Body Text"/>
    <w:basedOn w:val="Normal"/>
    <w:link w:val="BodyTextChar"/>
    <w:uiPriority w:val="99"/>
    <w:semiHidden/>
    <w:unhideWhenUsed/>
    <w:rsid w:val="00500D85"/>
    <w:pPr>
      <w:spacing w:after="120"/>
    </w:pPr>
  </w:style>
  <w:style w:type="character" w:customStyle="1" w:styleId="BodyTextChar">
    <w:name w:val="Body Text Char"/>
    <w:basedOn w:val="DefaultParagraphFont"/>
    <w:link w:val="BodyText"/>
    <w:uiPriority w:val="99"/>
    <w:semiHidden/>
    <w:rsid w:val="00500D85"/>
    <w:rPr>
      <w:rFonts w:ascii="Times New Roman" w:hAnsi="Times New Roman" w:cs="Times New Roman"/>
      <w:lang w:eastAsia="en-US"/>
    </w:rPr>
  </w:style>
  <w:style w:type="paragraph" w:customStyle="1" w:styleId="CRPDStateParty-Replyto">
    <w:name w:val="CRPD State Party - Reply to"/>
    <w:basedOn w:val="SingleTxtG"/>
    <w:autoRedefine/>
    <w:qFormat/>
    <w:rsid w:val="009D6732"/>
    <w:pPr>
      <w:widowControl w:val="0"/>
      <w:tabs>
        <w:tab w:val="left" w:pos="8080"/>
      </w:tabs>
    </w:pPr>
    <w:rPr>
      <w:rFonts w:ascii="Verdana" w:hAnsi="Verdana"/>
      <w:b/>
      <w:sz w:val="24"/>
      <w:lang w:val="en-NZ"/>
    </w:rPr>
  </w:style>
  <w:style w:type="paragraph" w:customStyle="1" w:styleId="CRPD-StateParty-boxheading">
    <w:name w:val="CRPD - State Party - box heading"/>
    <w:basedOn w:val="Normal"/>
    <w:link w:val="CRPD-StateParty-boxheadingChar"/>
    <w:qFormat/>
    <w:rsid w:val="002E6CF9"/>
    <w:pPr>
      <w:pBdr>
        <w:top w:val="single" w:sz="4" w:space="1" w:color="auto"/>
        <w:left w:val="single" w:sz="4" w:space="4" w:color="auto"/>
        <w:bottom w:val="single" w:sz="4" w:space="1" w:color="auto"/>
        <w:right w:val="single" w:sz="4" w:space="4" w:color="auto"/>
      </w:pBdr>
      <w:shd w:val="clear" w:color="auto" w:fill="F2F2F2" w:themeFill="background1" w:themeFillShade="F2"/>
      <w:spacing w:before="360"/>
      <w:ind w:left="1170"/>
    </w:pPr>
    <w:rPr>
      <w:b/>
      <w:i/>
    </w:rPr>
  </w:style>
  <w:style w:type="paragraph" w:customStyle="1" w:styleId="CRPD-StateParty-boxbody">
    <w:name w:val="CRPD - State Party - box body"/>
    <w:basedOn w:val="Normal"/>
    <w:link w:val="CRPD-StateParty-boxbodyChar"/>
    <w:qFormat/>
    <w:rsid w:val="002E6CF9"/>
    <w:pPr>
      <w:pBdr>
        <w:top w:val="single" w:sz="4" w:space="1" w:color="auto"/>
        <w:left w:val="single" w:sz="4" w:space="0" w:color="auto"/>
        <w:bottom w:val="single" w:sz="4" w:space="1" w:color="auto"/>
        <w:right w:val="single" w:sz="4" w:space="4" w:color="auto"/>
      </w:pBdr>
      <w:shd w:val="clear" w:color="auto" w:fill="F2F2F2" w:themeFill="background1" w:themeFillShade="F2"/>
      <w:ind w:left="1107"/>
      <w:jc w:val="both"/>
    </w:pPr>
  </w:style>
  <w:style w:type="character" w:customStyle="1" w:styleId="CRPD-StateParty-boxheadingChar">
    <w:name w:val="CRPD - State Party - box heading Char"/>
    <w:basedOn w:val="DefaultParagraphFont"/>
    <w:link w:val="CRPD-StateParty-boxheading"/>
    <w:rsid w:val="002E6CF9"/>
    <w:rPr>
      <w:rFonts w:ascii="Times New Roman" w:hAnsi="Times New Roman" w:cs="Times New Roman"/>
      <w:b/>
      <w:i/>
      <w:shd w:val="clear" w:color="auto" w:fill="F2F2F2" w:themeFill="background1" w:themeFillShade="F2"/>
      <w:lang w:eastAsia="en-US"/>
    </w:rPr>
  </w:style>
  <w:style w:type="character" w:customStyle="1" w:styleId="CRPD-StateParty-bodyfootnotesuperscript">
    <w:name w:val="CRPD - State Party - body footnote superscript"/>
    <w:basedOn w:val="DefaultParagraphFont"/>
    <w:uiPriority w:val="1"/>
    <w:qFormat/>
    <w:rsid w:val="002127AD"/>
    <w:rPr>
      <w:vertAlign w:val="superscript"/>
    </w:rPr>
  </w:style>
  <w:style w:type="character" w:customStyle="1" w:styleId="CRPD-StateParty-boxbodyChar">
    <w:name w:val="CRPD - State Party - box body Char"/>
    <w:basedOn w:val="DefaultParagraphFont"/>
    <w:link w:val="CRPD-StateParty-boxbody"/>
    <w:rsid w:val="002E6CF9"/>
    <w:rPr>
      <w:rFonts w:ascii="Times New Roman" w:hAnsi="Times New Roman" w:cs="Times New Roman"/>
      <w:shd w:val="clear" w:color="auto" w:fill="F2F2F2" w:themeFill="background1" w:themeFillShade="F2"/>
      <w:lang w:eastAsia="en-US"/>
    </w:rPr>
  </w:style>
  <w:style w:type="paragraph" w:customStyle="1" w:styleId="ReportBody">
    <w:name w:val="Report Body"/>
    <w:basedOn w:val="Normal"/>
    <w:link w:val="ReportBodyChar"/>
    <w:qFormat/>
    <w:rsid w:val="00272479"/>
    <w:pPr>
      <w:numPr>
        <w:numId w:val="8"/>
      </w:numPr>
      <w:suppressAutoHyphens w:val="0"/>
      <w:spacing w:before="120" w:after="120" w:line="240" w:lineRule="auto"/>
    </w:pPr>
    <w:rPr>
      <w:rFonts w:ascii="Verdana" w:eastAsia="Times New Roman" w:hAnsi="Verdana" w:cs="Arial"/>
      <w:color w:val="000000"/>
      <w:kern w:val="22"/>
      <w:lang w:val="en-NZ" w:eastAsia="en-NZ"/>
    </w:rPr>
  </w:style>
  <w:style w:type="character" w:customStyle="1" w:styleId="ReportBodyChar">
    <w:name w:val="Report Body Char"/>
    <w:basedOn w:val="DefaultParagraphFont"/>
    <w:link w:val="ReportBody"/>
    <w:rsid w:val="00272479"/>
    <w:rPr>
      <w:rFonts w:ascii="Verdana" w:eastAsia="Times New Roman" w:hAnsi="Verdana"/>
      <w:color w:val="000000"/>
      <w:kern w:val="22"/>
      <w:lang w:val="en-NZ" w:eastAsia="en-NZ"/>
    </w:rPr>
  </w:style>
  <w:style w:type="paragraph" w:customStyle="1" w:styleId="ReportBody2">
    <w:name w:val="Report Body 2"/>
    <w:basedOn w:val="ReportBody"/>
    <w:uiPriority w:val="99"/>
    <w:qFormat/>
    <w:rsid w:val="00272479"/>
    <w:pPr>
      <w:numPr>
        <w:ilvl w:val="1"/>
      </w:numPr>
      <w:tabs>
        <w:tab w:val="clear" w:pos="493"/>
        <w:tab w:val="num" w:pos="360"/>
      </w:tabs>
    </w:pPr>
  </w:style>
  <w:style w:type="paragraph" w:customStyle="1" w:styleId="NumtxtBullet1">
    <w:name w:val="Num txt: Bullet 1"/>
    <w:rsid w:val="000E1DC5"/>
    <w:pPr>
      <w:numPr>
        <w:ilvl w:val="1"/>
        <w:numId w:val="9"/>
      </w:numPr>
      <w:spacing w:after="120"/>
    </w:pPr>
    <w:rPr>
      <w:rFonts w:ascii="Arial" w:eastAsia="Times New Roman" w:hAnsi="Arial" w:cs="Times New Roman"/>
      <w:sz w:val="22"/>
      <w:szCs w:val="22"/>
      <w:lang w:val="en-NZ" w:eastAsia="en-US"/>
    </w:rPr>
  </w:style>
  <w:style w:type="paragraph" w:customStyle="1" w:styleId="NumtxtBullet2">
    <w:name w:val="Num txt: Bullet 2"/>
    <w:rsid w:val="000E1DC5"/>
    <w:pPr>
      <w:numPr>
        <w:ilvl w:val="2"/>
        <w:numId w:val="9"/>
      </w:numPr>
    </w:pPr>
    <w:rPr>
      <w:rFonts w:ascii="Arial" w:eastAsia="Times New Roman" w:hAnsi="Arial" w:cs="Times New Roman"/>
      <w:sz w:val="22"/>
      <w:szCs w:val="24"/>
      <w:lang w:val="en-NZ" w:eastAsia="en-NZ"/>
    </w:rPr>
  </w:style>
  <w:style w:type="paragraph" w:customStyle="1" w:styleId="NumtxtText">
    <w:name w:val="Num txt: Text"/>
    <w:link w:val="NumtxtTextChar"/>
    <w:rsid w:val="000E1DC5"/>
    <w:pPr>
      <w:numPr>
        <w:numId w:val="9"/>
      </w:numPr>
      <w:spacing w:before="60" w:after="180"/>
    </w:pPr>
    <w:rPr>
      <w:rFonts w:ascii="Arial" w:eastAsia="Times New Roman" w:hAnsi="Arial" w:cs="Times New Roman"/>
      <w:sz w:val="22"/>
      <w:szCs w:val="24"/>
      <w:lang w:val="en-NZ" w:eastAsia="en-NZ"/>
    </w:rPr>
  </w:style>
  <w:style w:type="character" w:customStyle="1" w:styleId="NumtxtTextChar">
    <w:name w:val="Num txt: Text Char"/>
    <w:basedOn w:val="DefaultParagraphFont"/>
    <w:link w:val="NumtxtText"/>
    <w:rsid w:val="000E1DC5"/>
    <w:rPr>
      <w:rFonts w:ascii="Arial" w:eastAsia="Times New Roman" w:hAnsi="Arial" w:cs="Times New Roman"/>
      <w:sz w:val="22"/>
      <w:szCs w:val="24"/>
      <w:lang w:val="en-NZ" w:eastAsia="en-NZ"/>
    </w:rPr>
  </w:style>
  <w:style w:type="character" w:styleId="Hyperlink">
    <w:name w:val="Hyperlink"/>
    <w:basedOn w:val="DefaultParagraphFont"/>
    <w:uiPriority w:val="99"/>
    <w:unhideWhenUsed/>
    <w:rsid w:val="00D238CE"/>
    <w:rPr>
      <w:color w:val="0000FF" w:themeColor="hyperlink"/>
      <w:u w:val="single"/>
    </w:rPr>
  </w:style>
  <w:style w:type="character" w:customStyle="1" w:styleId="UnresolvedMention1">
    <w:name w:val="Unresolved Mention1"/>
    <w:basedOn w:val="DefaultParagraphFont"/>
    <w:uiPriority w:val="99"/>
    <w:semiHidden/>
    <w:unhideWhenUsed/>
    <w:rsid w:val="00D238CE"/>
    <w:rPr>
      <w:color w:val="808080"/>
      <w:shd w:val="clear" w:color="auto" w:fill="E6E6E6"/>
    </w:rPr>
  </w:style>
  <w:style w:type="paragraph" w:customStyle="1" w:styleId="Default">
    <w:name w:val="Default"/>
    <w:rsid w:val="0098675F"/>
    <w:pPr>
      <w:autoSpaceDE w:val="0"/>
      <w:autoSpaceDN w:val="0"/>
      <w:adjustRightInd w:val="0"/>
    </w:pPr>
    <w:rPr>
      <w:rFonts w:eastAsiaTheme="minorHAnsi" w:cs="Calibri"/>
      <w:color w:val="000000"/>
      <w:sz w:val="24"/>
      <w:szCs w:val="24"/>
      <w:lang w:val="en-NZ" w:eastAsia="en-US"/>
    </w:rPr>
  </w:style>
  <w:style w:type="paragraph" w:customStyle="1" w:styleId="Bullet">
    <w:name w:val="Bullet"/>
    <w:basedOn w:val="Normal"/>
    <w:qFormat/>
    <w:rsid w:val="004C00A1"/>
    <w:pPr>
      <w:numPr>
        <w:numId w:val="10"/>
      </w:numPr>
      <w:suppressAutoHyphens w:val="0"/>
      <w:spacing w:before="90" w:line="264" w:lineRule="auto"/>
    </w:pPr>
    <w:rPr>
      <w:rFonts w:ascii="Georgia" w:eastAsia="Times New Roman" w:hAnsi="Georgia"/>
      <w:sz w:val="22"/>
      <w:lang w:val="en-NZ" w:eastAsia="en-GB"/>
    </w:rPr>
  </w:style>
  <w:style w:type="paragraph" w:customStyle="1" w:styleId="CRPD-StateParty-footnotetext">
    <w:name w:val="CRPD - State Party - footnote text"/>
    <w:basedOn w:val="FootnoteText"/>
    <w:autoRedefine/>
    <w:qFormat/>
    <w:rsid w:val="005941BE"/>
    <w:pPr>
      <w:ind w:left="0" w:firstLine="0"/>
    </w:pPr>
  </w:style>
  <w:style w:type="character" w:styleId="FollowedHyperlink">
    <w:name w:val="FollowedHyperlink"/>
    <w:basedOn w:val="DefaultParagraphFont"/>
    <w:uiPriority w:val="99"/>
    <w:semiHidden/>
    <w:unhideWhenUsed/>
    <w:rsid w:val="000E6B5D"/>
    <w:rPr>
      <w:color w:val="800080" w:themeColor="followedHyperlink"/>
      <w:u w:val="single"/>
    </w:rPr>
  </w:style>
  <w:style w:type="paragraph" w:styleId="Caption">
    <w:name w:val="caption"/>
    <w:basedOn w:val="Normal"/>
    <w:next w:val="Normal"/>
    <w:uiPriority w:val="35"/>
    <w:unhideWhenUsed/>
    <w:qFormat/>
    <w:rsid w:val="005F390D"/>
    <w:pPr>
      <w:spacing w:after="200" w:line="240" w:lineRule="auto"/>
    </w:pPr>
    <w:rPr>
      <w:i/>
      <w:iCs/>
      <w:color w:val="1F497D" w:themeColor="text2"/>
      <w:sz w:val="18"/>
      <w:szCs w:val="18"/>
    </w:rPr>
  </w:style>
  <w:style w:type="character" w:customStyle="1" w:styleId="UnresolvedMention2">
    <w:name w:val="Unresolved Mention2"/>
    <w:basedOn w:val="DefaultParagraphFont"/>
    <w:uiPriority w:val="99"/>
    <w:semiHidden/>
    <w:unhideWhenUsed/>
    <w:rsid w:val="00FF4B60"/>
    <w:rPr>
      <w:color w:val="808080"/>
      <w:shd w:val="clear" w:color="auto" w:fill="E6E6E6"/>
    </w:rPr>
  </w:style>
  <w:style w:type="paragraph" w:styleId="TOC7">
    <w:name w:val="toc 7"/>
    <w:basedOn w:val="Normal"/>
    <w:next w:val="Normal"/>
    <w:autoRedefine/>
    <w:uiPriority w:val="39"/>
    <w:semiHidden/>
    <w:rsid w:val="00597781"/>
    <w:pPr>
      <w:suppressAutoHyphens w:val="0"/>
      <w:spacing w:after="100" w:line="240" w:lineRule="auto"/>
      <w:ind w:left="1200"/>
    </w:pPr>
    <w:rPr>
      <w:rFonts w:ascii="Calibri" w:eastAsiaTheme="minorHAnsi" w:hAnsi="Calibri" w:cs="Calibri"/>
      <w:sz w:val="22"/>
      <w:szCs w:val="22"/>
      <w:lang w:val="en-NZ"/>
    </w:rPr>
  </w:style>
  <w:style w:type="paragraph" w:customStyle="1" w:styleId="CRPD-Sectionheading">
    <w:name w:val="CRPD - Section heading"/>
    <w:basedOn w:val="H1G"/>
    <w:link w:val="CRPD-SectionheadingChar"/>
    <w:qFormat/>
    <w:rsid w:val="00D437E6"/>
    <w:rPr>
      <w:rFonts w:ascii="Verdana" w:hAnsi="Verdana"/>
    </w:rPr>
  </w:style>
  <w:style w:type="paragraph" w:customStyle="1" w:styleId="CRPD-Questionstyle">
    <w:name w:val="CRPD - Question style"/>
    <w:basedOn w:val="SingleTxtG"/>
    <w:link w:val="CRPD-QuestionstyleChar"/>
    <w:qFormat/>
    <w:rsid w:val="00972A92"/>
    <w:rPr>
      <w:rFonts w:ascii="Verdana" w:hAnsi="Verdana"/>
      <w:b/>
      <w:sz w:val="24"/>
    </w:rPr>
  </w:style>
  <w:style w:type="character" w:customStyle="1" w:styleId="H1GChar">
    <w:name w:val="_ H_1_G Char"/>
    <w:basedOn w:val="DefaultParagraphFont"/>
    <w:link w:val="H1G"/>
    <w:rsid w:val="00D437E6"/>
    <w:rPr>
      <w:rFonts w:ascii="Times New Roman" w:hAnsi="Times New Roman" w:cs="Times New Roman"/>
      <w:b/>
      <w:sz w:val="24"/>
      <w:lang w:eastAsia="zh-CN"/>
    </w:rPr>
  </w:style>
  <w:style w:type="character" w:customStyle="1" w:styleId="CRPD-SectionheadingChar">
    <w:name w:val="CRPD - Section heading Char"/>
    <w:basedOn w:val="H1GChar"/>
    <w:link w:val="CRPD-Sectionheading"/>
    <w:rsid w:val="00D437E6"/>
    <w:rPr>
      <w:rFonts w:ascii="Verdana" w:hAnsi="Verdana" w:cs="Times New Roman"/>
      <w:b/>
      <w:sz w:val="24"/>
      <w:lang w:eastAsia="zh-CN"/>
    </w:rPr>
  </w:style>
  <w:style w:type="paragraph" w:customStyle="1" w:styleId="CRPD-subsectionheading">
    <w:name w:val="CRPD - subsection heading"/>
    <w:basedOn w:val="H23G"/>
    <w:autoRedefine/>
    <w:uiPriority w:val="99"/>
    <w:qFormat/>
    <w:rsid w:val="003A486D"/>
    <w:pPr>
      <w:keepNext w:val="0"/>
      <w:widowControl w:val="0"/>
      <w:numPr>
        <w:numId w:val="14"/>
      </w:numPr>
      <w:jc w:val="both"/>
    </w:pPr>
    <w:rPr>
      <w:rFonts w:ascii="Verdana" w:eastAsia="Calibri" w:hAnsi="Verdana" w:cs="Arial"/>
      <w:b w:val="0"/>
      <w:sz w:val="24"/>
      <w:lang w:val="en-NZ"/>
    </w:rPr>
  </w:style>
  <w:style w:type="character" w:customStyle="1" w:styleId="CRPD-QuestionstyleChar">
    <w:name w:val="CRPD - Question style Char"/>
    <w:basedOn w:val="SingleTxtGChar"/>
    <w:link w:val="CRPD-Questionstyle"/>
    <w:rsid w:val="00972A92"/>
    <w:rPr>
      <w:rFonts w:ascii="Verdana" w:hAnsi="Verdana" w:cs="Times New Roman"/>
      <w:b/>
      <w:sz w:val="24"/>
      <w:szCs w:val="20"/>
      <w:lang w:eastAsia="zh-CN"/>
    </w:rPr>
  </w:style>
  <w:style w:type="paragraph" w:customStyle="1" w:styleId="CRPD-bodyunderlined">
    <w:name w:val="CRPD - body underlined"/>
    <w:basedOn w:val="CRPDSoP-Body"/>
    <w:autoRedefine/>
    <w:qFormat/>
    <w:rsid w:val="005224B3"/>
    <w:rPr>
      <w:u w:val="single"/>
    </w:rPr>
  </w:style>
  <w:style w:type="character" w:customStyle="1" w:styleId="UnresolvedMention">
    <w:name w:val="Unresolved Mention"/>
    <w:basedOn w:val="DefaultParagraphFont"/>
    <w:uiPriority w:val="99"/>
    <w:semiHidden/>
    <w:unhideWhenUsed/>
    <w:rsid w:val="007E03FC"/>
    <w:rPr>
      <w:color w:val="808080"/>
      <w:shd w:val="clear" w:color="auto" w:fill="E6E6E6"/>
    </w:rPr>
  </w:style>
  <w:style w:type="paragraph" w:styleId="List5">
    <w:name w:val="List 5"/>
    <w:basedOn w:val="Normal"/>
    <w:uiPriority w:val="99"/>
    <w:semiHidden/>
    <w:rsid w:val="00BA0000"/>
    <w:pPr>
      <w:numPr>
        <w:ilvl w:val="4"/>
        <w:numId w:val="12"/>
      </w:numPr>
      <w:suppressAutoHyphens w:val="0"/>
      <w:spacing w:after="120" w:line="288" w:lineRule="auto"/>
      <w:contextualSpacing/>
    </w:pPr>
    <w:rPr>
      <w:rFonts w:ascii="Verdana" w:eastAsia="Calibri" w:hAnsi="Verdana" w:cs="Arial"/>
      <w:szCs w:val="22"/>
      <w:lang w:val="en-NZ"/>
    </w:rPr>
  </w:style>
  <w:style w:type="paragraph" w:styleId="List">
    <w:name w:val="List"/>
    <w:basedOn w:val="Normal"/>
    <w:uiPriority w:val="99"/>
    <w:rsid w:val="00BA0000"/>
    <w:pPr>
      <w:numPr>
        <w:numId w:val="12"/>
      </w:numPr>
      <w:suppressAutoHyphens w:val="0"/>
      <w:spacing w:after="120" w:line="288" w:lineRule="auto"/>
      <w:ind w:left="454" w:hanging="454"/>
    </w:pPr>
    <w:rPr>
      <w:rFonts w:ascii="Verdana" w:eastAsia="Calibri" w:hAnsi="Verdana" w:cs="Arial"/>
      <w:szCs w:val="22"/>
      <w:lang w:val="en-NZ"/>
    </w:rPr>
  </w:style>
  <w:style w:type="paragraph" w:styleId="List2">
    <w:name w:val="List 2"/>
    <w:basedOn w:val="Normal"/>
    <w:uiPriority w:val="99"/>
    <w:rsid w:val="00BA0000"/>
    <w:pPr>
      <w:numPr>
        <w:ilvl w:val="1"/>
        <w:numId w:val="12"/>
      </w:numPr>
      <w:suppressAutoHyphens w:val="0"/>
      <w:spacing w:after="120" w:line="288" w:lineRule="auto"/>
      <w:ind w:left="908" w:hanging="454"/>
    </w:pPr>
    <w:rPr>
      <w:rFonts w:ascii="Verdana" w:eastAsia="Calibri" w:hAnsi="Verdana" w:cs="Arial"/>
      <w:szCs w:val="22"/>
      <w:lang w:val="en-NZ"/>
    </w:rPr>
  </w:style>
  <w:style w:type="paragraph" w:customStyle="1" w:styleId="ParNoG">
    <w:name w:val="_ParNo_G"/>
    <w:basedOn w:val="SingleTxtG"/>
    <w:qFormat/>
    <w:rsid w:val="005D2EB2"/>
    <w:pPr>
      <w:numPr>
        <w:numId w:val="13"/>
      </w:numPr>
      <w:kinsoku w:val="0"/>
      <w:overflowPunct w:val="0"/>
      <w:autoSpaceDE w:val="0"/>
      <w:autoSpaceDN w:val="0"/>
      <w:adjustRightInd w:val="0"/>
      <w:snapToGrid w:val="0"/>
    </w:pPr>
    <w:rPr>
      <w:rFonts w:eastAsia="Times New Roman"/>
      <w:lang w:eastAsia="en-US"/>
    </w:rPr>
  </w:style>
  <w:style w:type="table" w:customStyle="1" w:styleId="TableGridLight1">
    <w:name w:val="Table Grid Light1"/>
    <w:basedOn w:val="TableNormal"/>
    <w:uiPriority w:val="40"/>
    <w:rsid w:val="00C47586"/>
    <w:rPr>
      <w:rFonts w:asciiTheme="minorHAnsi" w:eastAsiaTheme="minorHAnsi" w:hAnsiTheme="minorHAnsi" w:cstheme="minorBidi"/>
      <w:sz w:val="22"/>
      <w:szCs w:val="22"/>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fuvd">
    <w:name w:val="ilfuvd"/>
    <w:basedOn w:val="DefaultParagraphFont"/>
    <w:rsid w:val="00245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5595">
      <w:bodyDiv w:val="1"/>
      <w:marLeft w:val="0"/>
      <w:marRight w:val="0"/>
      <w:marTop w:val="0"/>
      <w:marBottom w:val="0"/>
      <w:divBdr>
        <w:top w:val="none" w:sz="0" w:space="0" w:color="auto"/>
        <w:left w:val="none" w:sz="0" w:space="0" w:color="auto"/>
        <w:bottom w:val="none" w:sz="0" w:space="0" w:color="auto"/>
        <w:right w:val="none" w:sz="0" w:space="0" w:color="auto"/>
      </w:divBdr>
    </w:div>
    <w:div w:id="57215886">
      <w:bodyDiv w:val="1"/>
      <w:marLeft w:val="0"/>
      <w:marRight w:val="0"/>
      <w:marTop w:val="0"/>
      <w:marBottom w:val="0"/>
      <w:divBdr>
        <w:top w:val="none" w:sz="0" w:space="0" w:color="auto"/>
        <w:left w:val="none" w:sz="0" w:space="0" w:color="auto"/>
        <w:bottom w:val="none" w:sz="0" w:space="0" w:color="auto"/>
        <w:right w:val="none" w:sz="0" w:space="0" w:color="auto"/>
      </w:divBdr>
    </w:div>
    <w:div w:id="70008310">
      <w:bodyDiv w:val="1"/>
      <w:marLeft w:val="0"/>
      <w:marRight w:val="0"/>
      <w:marTop w:val="0"/>
      <w:marBottom w:val="0"/>
      <w:divBdr>
        <w:top w:val="none" w:sz="0" w:space="0" w:color="auto"/>
        <w:left w:val="none" w:sz="0" w:space="0" w:color="auto"/>
        <w:bottom w:val="none" w:sz="0" w:space="0" w:color="auto"/>
        <w:right w:val="none" w:sz="0" w:space="0" w:color="auto"/>
      </w:divBdr>
    </w:div>
    <w:div w:id="82992098">
      <w:bodyDiv w:val="1"/>
      <w:marLeft w:val="0"/>
      <w:marRight w:val="0"/>
      <w:marTop w:val="0"/>
      <w:marBottom w:val="0"/>
      <w:divBdr>
        <w:top w:val="none" w:sz="0" w:space="0" w:color="auto"/>
        <w:left w:val="none" w:sz="0" w:space="0" w:color="auto"/>
        <w:bottom w:val="none" w:sz="0" w:space="0" w:color="auto"/>
        <w:right w:val="none" w:sz="0" w:space="0" w:color="auto"/>
      </w:divBdr>
    </w:div>
    <w:div w:id="93520423">
      <w:bodyDiv w:val="1"/>
      <w:marLeft w:val="0"/>
      <w:marRight w:val="0"/>
      <w:marTop w:val="0"/>
      <w:marBottom w:val="0"/>
      <w:divBdr>
        <w:top w:val="none" w:sz="0" w:space="0" w:color="auto"/>
        <w:left w:val="none" w:sz="0" w:space="0" w:color="auto"/>
        <w:bottom w:val="none" w:sz="0" w:space="0" w:color="auto"/>
        <w:right w:val="none" w:sz="0" w:space="0" w:color="auto"/>
      </w:divBdr>
    </w:div>
    <w:div w:id="118453370">
      <w:bodyDiv w:val="1"/>
      <w:marLeft w:val="0"/>
      <w:marRight w:val="0"/>
      <w:marTop w:val="0"/>
      <w:marBottom w:val="0"/>
      <w:divBdr>
        <w:top w:val="none" w:sz="0" w:space="0" w:color="auto"/>
        <w:left w:val="none" w:sz="0" w:space="0" w:color="auto"/>
        <w:bottom w:val="none" w:sz="0" w:space="0" w:color="auto"/>
        <w:right w:val="none" w:sz="0" w:space="0" w:color="auto"/>
      </w:divBdr>
    </w:div>
    <w:div w:id="141311158">
      <w:bodyDiv w:val="1"/>
      <w:marLeft w:val="0"/>
      <w:marRight w:val="0"/>
      <w:marTop w:val="0"/>
      <w:marBottom w:val="0"/>
      <w:divBdr>
        <w:top w:val="none" w:sz="0" w:space="0" w:color="auto"/>
        <w:left w:val="none" w:sz="0" w:space="0" w:color="auto"/>
        <w:bottom w:val="none" w:sz="0" w:space="0" w:color="auto"/>
        <w:right w:val="none" w:sz="0" w:space="0" w:color="auto"/>
      </w:divBdr>
    </w:div>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289673817">
      <w:bodyDiv w:val="1"/>
      <w:marLeft w:val="0"/>
      <w:marRight w:val="0"/>
      <w:marTop w:val="0"/>
      <w:marBottom w:val="0"/>
      <w:divBdr>
        <w:top w:val="none" w:sz="0" w:space="0" w:color="auto"/>
        <w:left w:val="none" w:sz="0" w:space="0" w:color="auto"/>
        <w:bottom w:val="none" w:sz="0" w:space="0" w:color="auto"/>
        <w:right w:val="none" w:sz="0" w:space="0" w:color="auto"/>
      </w:divBdr>
    </w:div>
    <w:div w:id="297496606">
      <w:bodyDiv w:val="1"/>
      <w:marLeft w:val="0"/>
      <w:marRight w:val="0"/>
      <w:marTop w:val="0"/>
      <w:marBottom w:val="0"/>
      <w:divBdr>
        <w:top w:val="none" w:sz="0" w:space="0" w:color="auto"/>
        <w:left w:val="none" w:sz="0" w:space="0" w:color="auto"/>
        <w:bottom w:val="none" w:sz="0" w:space="0" w:color="auto"/>
        <w:right w:val="none" w:sz="0" w:space="0" w:color="auto"/>
      </w:divBdr>
    </w:div>
    <w:div w:id="319772963">
      <w:bodyDiv w:val="1"/>
      <w:marLeft w:val="0"/>
      <w:marRight w:val="0"/>
      <w:marTop w:val="0"/>
      <w:marBottom w:val="0"/>
      <w:divBdr>
        <w:top w:val="none" w:sz="0" w:space="0" w:color="auto"/>
        <w:left w:val="none" w:sz="0" w:space="0" w:color="auto"/>
        <w:bottom w:val="none" w:sz="0" w:space="0" w:color="auto"/>
        <w:right w:val="none" w:sz="0" w:space="0" w:color="auto"/>
      </w:divBdr>
    </w:div>
    <w:div w:id="334311144">
      <w:bodyDiv w:val="1"/>
      <w:marLeft w:val="0"/>
      <w:marRight w:val="0"/>
      <w:marTop w:val="0"/>
      <w:marBottom w:val="0"/>
      <w:divBdr>
        <w:top w:val="none" w:sz="0" w:space="0" w:color="auto"/>
        <w:left w:val="none" w:sz="0" w:space="0" w:color="auto"/>
        <w:bottom w:val="none" w:sz="0" w:space="0" w:color="auto"/>
        <w:right w:val="none" w:sz="0" w:space="0" w:color="auto"/>
      </w:divBdr>
    </w:div>
    <w:div w:id="338850902">
      <w:bodyDiv w:val="1"/>
      <w:marLeft w:val="0"/>
      <w:marRight w:val="0"/>
      <w:marTop w:val="0"/>
      <w:marBottom w:val="0"/>
      <w:divBdr>
        <w:top w:val="none" w:sz="0" w:space="0" w:color="auto"/>
        <w:left w:val="none" w:sz="0" w:space="0" w:color="auto"/>
        <w:bottom w:val="none" w:sz="0" w:space="0" w:color="auto"/>
        <w:right w:val="none" w:sz="0" w:space="0" w:color="auto"/>
      </w:divBdr>
    </w:div>
    <w:div w:id="435910884">
      <w:bodyDiv w:val="1"/>
      <w:marLeft w:val="0"/>
      <w:marRight w:val="0"/>
      <w:marTop w:val="0"/>
      <w:marBottom w:val="0"/>
      <w:divBdr>
        <w:top w:val="none" w:sz="0" w:space="0" w:color="auto"/>
        <w:left w:val="none" w:sz="0" w:space="0" w:color="auto"/>
        <w:bottom w:val="none" w:sz="0" w:space="0" w:color="auto"/>
        <w:right w:val="none" w:sz="0" w:space="0" w:color="auto"/>
      </w:divBdr>
    </w:div>
    <w:div w:id="440298898">
      <w:bodyDiv w:val="1"/>
      <w:marLeft w:val="0"/>
      <w:marRight w:val="0"/>
      <w:marTop w:val="0"/>
      <w:marBottom w:val="0"/>
      <w:divBdr>
        <w:top w:val="none" w:sz="0" w:space="0" w:color="auto"/>
        <w:left w:val="none" w:sz="0" w:space="0" w:color="auto"/>
        <w:bottom w:val="none" w:sz="0" w:space="0" w:color="auto"/>
        <w:right w:val="none" w:sz="0" w:space="0" w:color="auto"/>
      </w:divBdr>
    </w:div>
    <w:div w:id="471950719">
      <w:bodyDiv w:val="1"/>
      <w:marLeft w:val="0"/>
      <w:marRight w:val="0"/>
      <w:marTop w:val="0"/>
      <w:marBottom w:val="0"/>
      <w:divBdr>
        <w:top w:val="none" w:sz="0" w:space="0" w:color="auto"/>
        <w:left w:val="none" w:sz="0" w:space="0" w:color="auto"/>
        <w:bottom w:val="none" w:sz="0" w:space="0" w:color="auto"/>
        <w:right w:val="none" w:sz="0" w:space="0" w:color="auto"/>
      </w:divBdr>
    </w:div>
    <w:div w:id="480587481">
      <w:bodyDiv w:val="1"/>
      <w:marLeft w:val="0"/>
      <w:marRight w:val="0"/>
      <w:marTop w:val="0"/>
      <w:marBottom w:val="0"/>
      <w:divBdr>
        <w:top w:val="none" w:sz="0" w:space="0" w:color="auto"/>
        <w:left w:val="none" w:sz="0" w:space="0" w:color="auto"/>
        <w:bottom w:val="none" w:sz="0" w:space="0" w:color="auto"/>
        <w:right w:val="none" w:sz="0" w:space="0" w:color="auto"/>
      </w:divBdr>
    </w:div>
    <w:div w:id="507251589">
      <w:bodyDiv w:val="1"/>
      <w:marLeft w:val="0"/>
      <w:marRight w:val="0"/>
      <w:marTop w:val="0"/>
      <w:marBottom w:val="0"/>
      <w:divBdr>
        <w:top w:val="none" w:sz="0" w:space="0" w:color="auto"/>
        <w:left w:val="none" w:sz="0" w:space="0" w:color="auto"/>
        <w:bottom w:val="none" w:sz="0" w:space="0" w:color="auto"/>
        <w:right w:val="none" w:sz="0" w:space="0" w:color="auto"/>
      </w:divBdr>
    </w:div>
    <w:div w:id="509025662">
      <w:bodyDiv w:val="1"/>
      <w:marLeft w:val="0"/>
      <w:marRight w:val="0"/>
      <w:marTop w:val="0"/>
      <w:marBottom w:val="0"/>
      <w:divBdr>
        <w:top w:val="none" w:sz="0" w:space="0" w:color="auto"/>
        <w:left w:val="none" w:sz="0" w:space="0" w:color="auto"/>
        <w:bottom w:val="none" w:sz="0" w:space="0" w:color="auto"/>
        <w:right w:val="none" w:sz="0" w:space="0" w:color="auto"/>
      </w:divBdr>
    </w:div>
    <w:div w:id="557403889">
      <w:bodyDiv w:val="1"/>
      <w:marLeft w:val="0"/>
      <w:marRight w:val="0"/>
      <w:marTop w:val="0"/>
      <w:marBottom w:val="0"/>
      <w:divBdr>
        <w:top w:val="none" w:sz="0" w:space="0" w:color="auto"/>
        <w:left w:val="none" w:sz="0" w:space="0" w:color="auto"/>
        <w:bottom w:val="none" w:sz="0" w:space="0" w:color="auto"/>
        <w:right w:val="none" w:sz="0" w:space="0" w:color="auto"/>
      </w:divBdr>
    </w:div>
    <w:div w:id="559053838">
      <w:bodyDiv w:val="1"/>
      <w:marLeft w:val="0"/>
      <w:marRight w:val="0"/>
      <w:marTop w:val="0"/>
      <w:marBottom w:val="0"/>
      <w:divBdr>
        <w:top w:val="none" w:sz="0" w:space="0" w:color="auto"/>
        <w:left w:val="none" w:sz="0" w:space="0" w:color="auto"/>
        <w:bottom w:val="none" w:sz="0" w:space="0" w:color="auto"/>
        <w:right w:val="none" w:sz="0" w:space="0" w:color="auto"/>
      </w:divBdr>
    </w:div>
    <w:div w:id="575169250">
      <w:bodyDiv w:val="1"/>
      <w:marLeft w:val="0"/>
      <w:marRight w:val="0"/>
      <w:marTop w:val="0"/>
      <w:marBottom w:val="0"/>
      <w:divBdr>
        <w:top w:val="none" w:sz="0" w:space="0" w:color="auto"/>
        <w:left w:val="none" w:sz="0" w:space="0" w:color="auto"/>
        <w:bottom w:val="none" w:sz="0" w:space="0" w:color="auto"/>
        <w:right w:val="none" w:sz="0" w:space="0" w:color="auto"/>
      </w:divBdr>
    </w:div>
    <w:div w:id="579098353">
      <w:bodyDiv w:val="1"/>
      <w:marLeft w:val="0"/>
      <w:marRight w:val="0"/>
      <w:marTop w:val="0"/>
      <w:marBottom w:val="0"/>
      <w:divBdr>
        <w:top w:val="none" w:sz="0" w:space="0" w:color="auto"/>
        <w:left w:val="none" w:sz="0" w:space="0" w:color="auto"/>
        <w:bottom w:val="none" w:sz="0" w:space="0" w:color="auto"/>
        <w:right w:val="none" w:sz="0" w:space="0" w:color="auto"/>
      </w:divBdr>
    </w:div>
    <w:div w:id="603268169">
      <w:bodyDiv w:val="1"/>
      <w:marLeft w:val="0"/>
      <w:marRight w:val="0"/>
      <w:marTop w:val="0"/>
      <w:marBottom w:val="0"/>
      <w:divBdr>
        <w:top w:val="none" w:sz="0" w:space="0" w:color="auto"/>
        <w:left w:val="none" w:sz="0" w:space="0" w:color="auto"/>
        <w:bottom w:val="none" w:sz="0" w:space="0" w:color="auto"/>
        <w:right w:val="none" w:sz="0" w:space="0" w:color="auto"/>
      </w:divBdr>
    </w:div>
    <w:div w:id="605431784">
      <w:bodyDiv w:val="1"/>
      <w:marLeft w:val="0"/>
      <w:marRight w:val="0"/>
      <w:marTop w:val="0"/>
      <w:marBottom w:val="0"/>
      <w:divBdr>
        <w:top w:val="none" w:sz="0" w:space="0" w:color="auto"/>
        <w:left w:val="none" w:sz="0" w:space="0" w:color="auto"/>
        <w:bottom w:val="none" w:sz="0" w:space="0" w:color="auto"/>
        <w:right w:val="none" w:sz="0" w:space="0" w:color="auto"/>
      </w:divBdr>
    </w:div>
    <w:div w:id="612445038">
      <w:bodyDiv w:val="1"/>
      <w:marLeft w:val="0"/>
      <w:marRight w:val="0"/>
      <w:marTop w:val="0"/>
      <w:marBottom w:val="0"/>
      <w:divBdr>
        <w:top w:val="none" w:sz="0" w:space="0" w:color="auto"/>
        <w:left w:val="none" w:sz="0" w:space="0" w:color="auto"/>
        <w:bottom w:val="none" w:sz="0" w:space="0" w:color="auto"/>
        <w:right w:val="none" w:sz="0" w:space="0" w:color="auto"/>
      </w:divBdr>
    </w:div>
    <w:div w:id="617371669">
      <w:bodyDiv w:val="1"/>
      <w:marLeft w:val="0"/>
      <w:marRight w:val="0"/>
      <w:marTop w:val="0"/>
      <w:marBottom w:val="0"/>
      <w:divBdr>
        <w:top w:val="none" w:sz="0" w:space="0" w:color="auto"/>
        <w:left w:val="none" w:sz="0" w:space="0" w:color="auto"/>
        <w:bottom w:val="none" w:sz="0" w:space="0" w:color="auto"/>
        <w:right w:val="none" w:sz="0" w:space="0" w:color="auto"/>
      </w:divBdr>
    </w:div>
    <w:div w:id="630593813">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717976171">
      <w:bodyDiv w:val="1"/>
      <w:marLeft w:val="0"/>
      <w:marRight w:val="0"/>
      <w:marTop w:val="0"/>
      <w:marBottom w:val="0"/>
      <w:divBdr>
        <w:top w:val="none" w:sz="0" w:space="0" w:color="auto"/>
        <w:left w:val="none" w:sz="0" w:space="0" w:color="auto"/>
        <w:bottom w:val="none" w:sz="0" w:space="0" w:color="auto"/>
        <w:right w:val="none" w:sz="0" w:space="0" w:color="auto"/>
      </w:divBdr>
    </w:div>
    <w:div w:id="751583865">
      <w:bodyDiv w:val="1"/>
      <w:marLeft w:val="0"/>
      <w:marRight w:val="0"/>
      <w:marTop w:val="0"/>
      <w:marBottom w:val="0"/>
      <w:divBdr>
        <w:top w:val="none" w:sz="0" w:space="0" w:color="auto"/>
        <w:left w:val="none" w:sz="0" w:space="0" w:color="auto"/>
        <w:bottom w:val="none" w:sz="0" w:space="0" w:color="auto"/>
        <w:right w:val="none" w:sz="0" w:space="0" w:color="auto"/>
      </w:divBdr>
    </w:div>
    <w:div w:id="766116009">
      <w:bodyDiv w:val="1"/>
      <w:marLeft w:val="0"/>
      <w:marRight w:val="0"/>
      <w:marTop w:val="0"/>
      <w:marBottom w:val="0"/>
      <w:divBdr>
        <w:top w:val="none" w:sz="0" w:space="0" w:color="auto"/>
        <w:left w:val="none" w:sz="0" w:space="0" w:color="auto"/>
        <w:bottom w:val="none" w:sz="0" w:space="0" w:color="auto"/>
        <w:right w:val="none" w:sz="0" w:space="0" w:color="auto"/>
      </w:divBdr>
    </w:div>
    <w:div w:id="766509908">
      <w:bodyDiv w:val="1"/>
      <w:marLeft w:val="0"/>
      <w:marRight w:val="0"/>
      <w:marTop w:val="0"/>
      <w:marBottom w:val="0"/>
      <w:divBdr>
        <w:top w:val="none" w:sz="0" w:space="0" w:color="auto"/>
        <w:left w:val="none" w:sz="0" w:space="0" w:color="auto"/>
        <w:bottom w:val="none" w:sz="0" w:space="0" w:color="auto"/>
        <w:right w:val="none" w:sz="0" w:space="0" w:color="auto"/>
      </w:divBdr>
    </w:div>
    <w:div w:id="780489402">
      <w:bodyDiv w:val="1"/>
      <w:marLeft w:val="0"/>
      <w:marRight w:val="0"/>
      <w:marTop w:val="0"/>
      <w:marBottom w:val="0"/>
      <w:divBdr>
        <w:top w:val="none" w:sz="0" w:space="0" w:color="auto"/>
        <w:left w:val="none" w:sz="0" w:space="0" w:color="auto"/>
        <w:bottom w:val="none" w:sz="0" w:space="0" w:color="auto"/>
        <w:right w:val="none" w:sz="0" w:space="0" w:color="auto"/>
      </w:divBdr>
    </w:div>
    <w:div w:id="781875459">
      <w:bodyDiv w:val="1"/>
      <w:marLeft w:val="0"/>
      <w:marRight w:val="0"/>
      <w:marTop w:val="0"/>
      <w:marBottom w:val="0"/>
      <w:divBdr>
        <w:top w:val="none" w:sz="0" w:space="0" w:color="auto"/>
        <w:left w:val="none" w:sz="0" w:space="0" w:color="auto"/>
        <w:bottom w:val="none" w:sz="0" w:space="0" w:color="auto"/>
        <w:right w:val="none" w:sz="0" w:space="0" w:color="auto"/>
      </w:divBdr>
    </w:div>
    <w:div w:id="809829382">
      <w:bodyDiv w:val="1"/>
      <w:marLeft w:val="0"/>
      <w:marRight w:val="0"/>
      <w:marTop w:val="0"/>
      <w:marBottom w:val="0"/>
      <w:divBdr>
        <w:top w:val="none" w:sz="0" w:space="0" w:color="auto"/>
        <w:left w:val="none" w:sz="0" w:space="0" w:color="auto"/>
        <w:bottom w:val="none" w:sz="0" w:space="0" w:color="auto"/>
        <w:right w:val="none" w:sz="0" w:space="0" w:color="auto"/>
      </w:divBdr>
    </w:div>
    <w:div w:id="860127206">
      <w:bodyDiv w:val="1"/>
      <w:marLeft w:val="0"/>
      <w:marRight w:val="0"/>
      <w:marTop w:val="0"/>
      <w:marBottom w:val="0"/>
      <w:divBdr>
        <w:top w:val="none" w:sz="0" w:space="0" w:color="auto"/>
        <w:left w:val="none" w:sz="0" w:space="0" w:color="auto"/>
        <w:bottom w:val="none" w:sz="0" w:space="0" w:color="auto"/>
        <w:right w:val="none" w:sz="0" w:space="0" w:color="auto"/>
      </w:divBdr>
    </w:div>
    <w:div w:id="893157341">
      <w:bodyDiv w:val="1"/>
      <w:marLeft w:val="0"/>
      <w:marRight w:val="0"/>
      <w:marTop w:val="0"/>
      <w:marBottom w:val="0"/>
      <w:divBdr>
        <w:top w:val="none" w:sz="0" w:space="0" w:color="auto"/>
        <w:left w:val="none" w:sz="0" w:space="0" w:color="auto"/>
        <w:bottom w:val="none" w:sz="0" w:space="0" w:color="auto"/>
        <w:right w:val="none" w:sz="0" w:space="0" w:color="auto"/>
      </w:divBdr>
    </w:div>
    <w:div w:id="911044323">
      <w:bodyDiv w:val="1"/>
      <w:marLeft w:val="0"/>
      <w:marRight w:val="0"/>
      <w:marTop w:val="0"/>
      <w:marBottom w:val="0"/>
      <w:divBdr>
        <w:top w:val="none" w:sz="0" w:space="0" w:color="auto"/>
        <w:left w:val="none" w:sz="0" w:space="0" w:color="auto"/>
        <w:bottom w:val="none" w:sz="0" w:space="0" w:color="auto"/>
        <w:right w:val="none" w:sz="0" w:space="0" w:color="auto"/>
      </w:divBdr>
    </w:div>
    <w:div w:id="922686750">
      <w:bodyDiv w:val="1"/>
      <w:marLeft w:val="0"/>
      <w:marRight w:val="0"/>
      <w:marTop w:val="0"/>
      <w:marBottom w:val="0"/>
      <w:divBdr>
        <w:top w:val="none" w:sz="0" w:space="0" w:color="auto"/>
        <w:left w:val="none" w:sz="0" w:space="0" w:color="auto"/>
        <w:bottom w:val="none" w:sz="0" w:space="0" w:color="auto"/>
        <w:right w:val="none" w:sz="0" w:space="0" w:color="auto"/>
      </w:divBdr>
    </w:div>
    <w:div w:id="923731534">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980814520">
      <w:bodyDiv w:val="1"/>
      <w:marLeft w:val="0"/>
      <w:marRight w:val="0"/>
      <w:marTop w:val="0"/>
      <w:marBottom w:val="0"/>
      <w:divBdr>
        <w:top w:val="none" w:sz="0" w:space="0" w:color="auto"/>
        <w:left w:val="none" w:sz="0" w:space="0" w:color="auto"/>
        <w:bottom w:val="none" w:sz="0" w:space="0" w:color="auto"/>
        <w:right w:val="none" w:sz="0" w:space="0" w:color="auto"/>
      </w:divBdr>
    </w:div>
    <w:div w:id="1035888627">
      <w:bodyDiv w:val="1"/>
      <w:marLeft w:val="0"/>
      <w:marRight w:val="0"/>
      <w:marTop w:val="0"/>
      <w:marBottom w:val="0"/>
      <w:divBdr>
        <w:top w:val="none" w:sz="0" w:space="0" w:color="auto"/>
        <w:left w:val="none" w:sz="0" w:space="0" w:color="auto"/>
        <w:bottom w:val="none" w:sz="0" w:space="0" w:color="auto"/>
        <w:right w:val="none" w:sz="0" w:space="0" w:color="auto"/>
      </w:divBdr>
    </w:div>
    <w:div w:id="1049574146">
      <w:bodyDiv w:val="1"/>
      <w:marLeft w:val="0"/>
      <w:marRight w:val="0"/>
      <w:marTop w:val="0"/>
      <w:marBottom w:val="0"/>
      <w:divBdr>
        <w:top w:val="none" w:sz="0" w:space="0" w:color="auto"/>
        <w:left w:val="none" w:sz="0" w:space="0" w:color="auto"/>
        <w:bottom w:val="none" w:sz="0" w:space="0" w:color="auto"/>
        <w:right w:val="none" w:sz="0" w:space="0" w:color="auto"/>
      </w:divBdr>
    </w:div>
    <w:div w:id="1066954500">
      <w:bodyDiv w:val="1"/>
      <w:marLeft w:val="0"/>
      <w:marRight w:val="0"/>
      <w:marTop w:val="0"/>
      <w:marBottom w:val="0"/>
      <w:divBdr>
        <w:top w:val="none" w:sz="0" w:space="0" w:color="auto"/>
        <w:left w:val="none" w:sz="0" w:space="0" w:color="auto"/>
        <w:bottom w:val="none" w:sz="0" w:space="0" w:color="auto"/>
        <w:right w:val="none" w:sz="0" w:space="0" w:color="auto"/>
      </w:divBdr>
    </w:div>
    <w:div w:id="1087656766">
      <w:bodyDiv w:val="1"/>
      <w:marLeft w:val="0"/>
      <w:marRight w:val="0"/>
      <w:marTop w:val="0"/>
      <w:marBottom w:val="0"/>
      <w:divBdr>
        <w:top w:val="none" w:sz="0" w:space="0" w:color="auto"/>
        <w:left w:val="none" w:sz="0" w:space="0" w:color="auto"/>
        <w:bottom w:val="none" w:sz="0" w:space="0" w:color="auto"/>
        <w:right w:val="none" w:sz="0" w:space="0" w:color="auto"/>
      </w:divBdr>
    </w:div>
    <w:div w:id="1141918746">
      <w:bodyDiv w:val="1"/>
      <w:marLeft w:val="0"/>
      <w:marRight w:val="0"/>
      <w:marTop w:val="0"/>
      <w:marBottom w:val="0"/>
      <w:divBdr>
        <w:top w:val="none" w:sz="0" w:space="0" w:color="auto"/>
        <w:left w:val="none" w:sz="0" w:space="0" w:color="auto"/>
        <w:bottom w:val="none" w:sz="0" w:space="0" w:color="auto"/>
        <w:right w:val="none" w:sz="0" w:space="0" w:color="auto"/>
      </w:divBdr>
    </w:div>
    <w:div w:id="1162234853">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51742976">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278026193">
      <w:bodyDiv w:val="1"/>
      <w:marLeft w:val="0"/>
      <w:marRight w:val="0"/>
      <w:marTop w:val="0"/>
      <w:marBottom w:val="0"/>
      <w:divBdr>
        <w:top w:val="none" w:sz="0" w:space="0" w:color="auto"/>
        <w:left w:val="none" w:sz="0" w:space="0" w:color="auto"/>
        <w:bottom w:val="none" w:sz="0" w:space="0" w:color="auto"/>
        <w:right w:val="none" w:sz="0" w:space="0" w:color="auto"/>
      </w:divBdr>
    </w:div>
    <w:div w:id="1283533187">
      <w:bodyDiv w:val="1"/>
      <w:marLeft w:val="0"/>
      <w:marRight w:val="0"/>
      <w:marTop w:val="0"/>
      <w:marBottom w:val="0"/>
      <w:divBdr>
        <w:top w:val="none" w:sz="0" w:space="0" w:color="auto"/>
        <w:left w:val="none" w:sz="0" w:space="0" w:color="auto"/>
        <w:bottom w:val="none" w:sz="0" w:space="0" w:color="auto"/>
        <w:right w:val="none" w:sz="0" w:space="0" w:color="auto"/>
      </w:divBdr>
    </w:div>
    <w:div w:id="1299989228">
      <w:bodyDiv w:val="1"/>
      <w:marLeft w:val="0"/>
      <w:marRight w:val="0"/>
      <w:marTop w:val="0"/>
      <w:marBottom w:val="0"/>
      <w:divBdr>
        <w:top w:val="none" w:sz="0" w:space="0" w:color="auto"/>
        <w:left w:val="none" w:sz="0" w:space="0" w:color="auto"/>
        <w:bottom w:val="none" w:sz="0" w:space="0" w:color="auto"/>
        <w:right w:val="none" w:sz="0" w:space="0" w:color="auto"/>
      </w:divBdr>
    </w:div>
    <w:div w:id="1323972720">
      <w:bodyDiv w:val="1"/>
      <w:marLeft w:val="0"/>
      <w:marRight w:val="0"/>
      <w:marTop w:val="0"/>
      <w:marBottom w:val="0"/>
      <w:divBdr>
        <w:top w:val="none" w:sz="0" w:space="0" w:color="auto"/>
        <w:left w:val="none" w:sz="0" w:space="0" w:color="auto"/>
        <w:bottom w:val="none" w:sz="0" w:space="0" w:color="auto"/>
        <w:right w:val="none" w:sz="0" w:space="0" w:color="auto"/>
      </w:divBdr>
    </w:div>
    <w:div w:id="1328627228">
      <w:bodyDiv w:val="1"/>
      <w:marLeft w:val="0"/>
      <w:marRight w:val="0"/>
      <w:marTop w:val="0"/>
      <w:marBottom w:val="0"/>
      <w:divBdr>
        <w:top w:val="none" w:sz="0" w:space="0" w:color="auto"/>
        <w:left w:val="none" w:sz="0" w:space="0" w:color="auto"/>
        <w:bottom w:val="none" w:sz="0" w:space="0" w:color="auto"/>
        <w:right w:val="none" w:sz="0" w:space="0" w:color="auto"/>
      </w:divBdr>
    </w:div>
    <w:div w:id="1342319220">
      <w:bodyDiv w:val="1"/>
      <w:marLeft w:val="0"/>
      <w:marRight w:val="0"/>
      <w:marTop w:val="0"/>
      <w:marBottom w:val="0"/>
      <w:divBdr>
        <w:top w:val="none" w:sz="0" w:space="0" w:color="auto"/>
        <w:left w:val="none" w:sz="0" w:space="0" w:color="auto"/>
        <w:bottom w:val="none" w:sz="0" w:space="0" w:color="auto"/>
        <w:right w:val="none" w:sz="0" w:space="0" w:color="auto"/>
      </w:divBdr>
    </w:div>
    <w:div w:id="1347710953">
      <w:bodyDiv w:val="1"/>
      <w:marLeft w:val="0"/>
      <w:marRight w:val="0"/>
      <w:marTop w:val="0"/>
      <w:marBottom w:val="0"/>
      <w:divBdr>
        <w:top w:val="none" w:sz="0" w:space="0" w:color="auto"/>
        <w:left w:val="none" w:sz="0" w:space="0" w:color="auto"/>
        <w:bottom w:val="none" w:sz="0" w:space="0" w:color="auto"/>
        <w:right w:val="none" w:sz="0" w:space="0" w:color="auto"/>
      </w:divBdr>
    </w:div>
    <w:div w:id="1360163403">
      <w:bodyDiv w:val="1"/>
      <w:marLeft w:val="0"/>
      <w:marRight w:val="0"/>
      <w:marTop w:val="0"/>
      <w:marBottom w:val="0"/>
      <w:divBdr>
        <w:top w:val="none" w:sz="0" w:space="0" w:color="auto"/>
        <w:left w:val="none" w:sz="0" w:space="0" w:color="auto"/>
        <w:bottom w:val="none" w:sz="0" w:space="0" w:color="auto"/>
        <w:right w:val="none" w:sz="0" w:space="0" w:color="auto"/>
      </w:divBdr>
    </w:div>
    <w:div w:id="1371802264">
      <w:bodyDiv w:val="1"/>
      <w:marLeft w:val="0"/>
      <w:marRight w:val="0"/>
      <w:marTop w:val="0"/>
      <w:marBottom w:val="0"/>
      <w:divBdr>
        <w:top w:val="none" w:sz="0" w:space="0" w:color="auto"/>
        <w:left w:val="none" w:sz="0" w:space="0" w:color="auto"/>
        <w:bottom w:val="none" w:sz="0" w:space="0" w:color="auto"/>
        <w:right w:val="none" w:sz="0" w:space="0" w:color="auto"/>
      </w:divBdr>
    </w:div>
    <w:div w:id="1383098370">
      <w:bodyDiv w:val="1"/>
      <w:marLeft w:val="0"/>
      <w:marRight w:val="0"/>
      <w:marTop w:val="0"/>
      <w:marBottom w:val="0"/>
      <w:divBdr>
        <w:top w:val="none" w:sz="0" w:space="0" w:color="auto"/>
        <w:left w:val="none" w:sz="0" w:space="0" w:color="auto"/>
        <w:bottom w:val="none" w:sz="0" w:space="0" w:color="auto"/>
        <w:right w:val="none" w:sz="0" w:space="0" w:color="auto"/>
      </w:divBdr>
    </w:div>
    <w:div w:id="1390759845">
      <w:bodyDiv w:val="1"/>
      <w:marLeft w:val="0"/>
      <w:marRight w:val="0"/>
      <w:marTop w:val="0"/>
      <w:marBottom w:val="0"/>
      <w:divBdr>
        <w:top w:val="none" w:sz="0" w:space="0" w:color="auto"/>
        <w:left w:val="none" w:sz="0" w:space="0" w:color="auto"/>
        <w:bottom w:val="none" w:sz="0" w:space="0" w:color="auto"/>
        <w:right w:val="none" w:sz="0" w:space="0" w:color="auto"/>
      </w:divBdr>
    </w:div>
    <w:div w:id="1409352455">
      <w:bodyDiv w:val="1"/>
      <w:marLeft w:val="0"/>
      <w:marRight w:val="0"/>
      <w:marTop w:val="0"/>
      <w:marBottom w:val="0"/>
      <w:divBdr>
        <w:top w:val="none" w:sz="0" w:space="0" w:color="auto"/>
        <w:left w:val="none" w:sz="0" w:space="0" w:color="auto"/>
        <w:bottom w:val="none" w:sz="0" w:space="0" w:color="auto"/>
        <w:right w:val="none" w:sz="0" w:space="0" w:color="auto"/>
      </w:divBdr>
    </w:div>
    <w:div w:id="1434667495">
      <w:bodyDiv w:val="1"/>
      <w:marLeft w:val="0"/>
      <w:marRight w:val="0"/>
      <w:marTop w:val="0"/>
      <w:marBottom w:val="0"/>
      <w:divBdr>
        <w:top w:val="none" w:sz="0" w:space="0" w:color="auto"/>
        <w:left w:val="none" w:sz="0" w:space="0" w:color="auto"/>
        <w:bottom w:val="none" w:sz="0" w:space="0" w:color="auto"/>
        <w:right w:val="none" w:sz="0" w:space="0" w:color="auto"/>
      </w:divBdr>
    </w:div>
    <w:div w:id="1440644822">
      <w:bodyDiv w:val="1"/>
      <w:marLeft w:val="0"/>
      <w:marRight w:val="0"/>
      <w:marTop w:val="0"/>
      <w:marBottom w:val="0"/>
      <w:divBdr>
        <w:top w:val="none" w:sz="0" w:space="0" w:color="auto"/>
        <w:left w:val="none" w:sz="0" w:space="0" w:color="auto"/>
        <w:bottom w:val="none" w:sz="0" w:space="0" w:color="auto"/>
        <w:right w:val="none" w:sz="0" w:space="0" w:color="auto"/>
      </w:divBdr>
    </w:div>
    <w:div w:id="1444761841">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485275092">
      <w:bodyDiv w:val="1"/>
      <w:marLeft w:val="0"/>
      <w:marRight w:val="0"/>
      <w:marTop w:val="0"/>
      <w:marBottom w:val="0"/>
      <w:divBdr>
        <w:top w:val="none" w:sz="0" w:space="0" w:color="auto"/>
        <w:left w:val="none" w:sz="0" w:space="0" w:color="auto"/>
        <w:bottom w:val="none" w:sz="0" w:space="0" w:color="auto"/>
        <w:right w:val="none" w:sz="0" w:space="0" w:color="auto"/>
      </w:divBdr>
    </w:div>
    <w:div w:id="1500468032">
      <w:bodyDiv w:val="1"/>
      <w:marLeft w:val="0"/>
      <w:marRight w:val="0"/>
      <w:marTop w:val="0"/>
      <w:marBottom w:val="0"/>
      <w:divBdr>
        <w:top w:val="none" w:sz="0" w:space="0" w:color="auto"/>
        <w:left w:val="none" w:sz="0" w:space="0" w:color="auto"/>
        <w:bottom w:val="none" w:sz="0" w:space="0" w:color="auto"/>
        <w:right w:val="none" w:sz="0" w:space="0" w:color="auto"/>
      </w:divBdr>
    </w:div>
    <w:div w:id="1576670042">
      <w:bodyDiv w:val="1"/>
      <w:marLeft w:val="0"/>
      <w:marRight w:val="0"/>
      <w:marTop w:val="0"/>
      <w:marBottom w:val="0"/>
      <w:divBdr>
        <w:top w:val="none" w:sz="0" w:space="0" w:color="auto"/>
        <w:left w:val="none" w:sz="0" w:space="0" w:color="auto"/>
        <w:bottom w:val="none" w:sz="0" w:space="0" w:color="auto"/>
        <w:right w:val="none" w:sz="0" w:space="0" w:color="auto"/>
      </w:divBdr>
    </w:div>
    <w:div w:id="1579290215">
      <w:bodyDiv w:val="1"/>
      <w:marLeft w:val="0"/>
      <w:marRight w:val="0"/>
      <w:marTop w:val="0"/>
      <w:marBottom w:val="0"/>
      <w:divBdr>
        <w:top w:val="none" w:sz="0" w:space="0" w:color="auto"/>
        <w:left w:val="none" w:sz="0" w:space="0" w:color="auto"/>
        <w:bottom w:val="none" w:sz="0" w:space="0" w:color="auto"/>
        <w:right w:val="none" w:sz="0" w:space="0" w:color="auto"/>
      </w:divBdr>
    </w:div>
    <w:div w:id="1588343787">
      <w:bodyDiv w:val="1"/>
      <w:marLeft w:val="0"/>
      <w:marRight w:val="0"/>
      <w:marTop w:val="0"/>
      <w:marBottom w:val="0"/>
      <w:divBdr>
        <w:top w:val="none" w:sz="0" w:space="0" w:color="auto"/>
        <w:left w:val="none" w:sz="0" w:space="0" w:color="auto"/>
        <w:bottom w:val="none" w:sz="0" w:space="0" w:color="auto"/>
        <w:right w:val="none" w:sz="0" w:space="0" w:color="auto"/>
      </w:divBdr>
    </w:div>
    <w:div w:id="1610434575">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628970345">
      <w:bodyDiv w:val="1"/>
      <w:marLeft w:val="0"/>
      <w:marRight w:val="0"/>
      <w:marTop w:val="0"/>
      <w:marBottom w:val="0"/>
      <w:divBdr>
        <w:top w:val="none" w:sz="0" w:space="0" w:color="auto"/>
        <w:left w:val="none" w:sz="0" w:space="0" w:color="auto"/>
        <w:bottom w:val="none" w:sz="0" w:space="0" w:color="auto"/>
        <w:right w:val="none" w:sz="0" w:space="0" w:color="auto"/>
      </w:divBdr>
    </w:div>
    <w:div w:id="1693990287">
      <w:bodyDiv w:val="1"/>
      <w:marLeft w:val="0"/>
      <w:marRight w:val="0"/>
      <w:marTop w:val="0"/>
      <w:marBottom w:val="0"/>
      <w:divBdr>
        <w:top w:val="none" w:sz="0" w:space="0" w:color="auto"/>
        <w:left w:val="none" w:sz="0" w:space="0" w:color="auto"/>
        <w:bottom w:val="none" w:sz="0" w:space="0" w:color="auto"/>
        <w:right w:val="none" w:sz="0" w:space="0" w:color="auto"/>
      </w:divBdr>
    </w:div>
    <w:div w:id="1697348067">
      <w:bodyDiv w:val="1"/>
      <w:marLeft w:val="0"/>
      <w:marRight w:val="0"/>
      <w:marTop w:val="0"/>
      <w:marBottom w:val="0"/>
      <w:divBdr>
        <w:top w:val="none" w:sz="0" w:space="0" w:color="auto"/>
        <w:left w:val="none" w:sz="0" w:space="0" w:color="auto"/>
        <w:bottom w:val="none" w:sz="0" w:space="0" w:color="auto"/>
        <w:right w:val="none" w:sz="0" w:space="0" w:color="auto"/>
      </w:divBdr>
    </w:div>
    <w:div w:id="1711762232">
      <w:bodyDiv w:val="1"/>
      <w:marLeft w:val="0"/>
      <w:marRight w:val="0"/>
      <w:marTop w:val="0"/>
      <w:marBottom w:val="0"/>
      <w:divBdr>
        <w:top w:val="none" w:sz="0" w:space="0" w:color="auto"/>
        <w:left w:val="none" w:sz="0" w:space="0" w:color="auto"/>
        <w:bottom w:val="none" w:sz="0" w:space="0" w:color="auto"/>
        <w:right w:val="none" w:sz="0" w:space="0" w:color="auto"/>
      </w:divBdr>
    </w:div>
    <w:div w:id="1723943268">
      <w:bodyDiv w:val="1"/>
      <w:marLeft w:val="0"/>
      <w:marRight w:val="0"/>
      <w:marTop w:val="0"/>
      <w:marBottom w:val="0"/>
      <w:divBdr>
        <w:top w:val="none" w:sz="0" w:space="0" w:color="auto"/>
        <w:left w:val="none" w:sz="0" w:space="0" w:color="auto"/>
        <w:bottom w:val="none" w:sz="0" w:space="0" w:color="auto"/>
        <w:right w:val="none" w:sz="0" w:space="0" w:color="auto"/>
      </w:divBdr>
    </w:div>
    <w:div w:id="1731079124">
      <w:bodyDiv w:val="1"/>
      <w:marLeft w:val="0"/>
      <w:marRight w:val="0"/>
      <w:marTop w:val="0"/>
      <w:marBottom w:val="0"/>
      <w:divBdr>
        <w:top w:val="none" w:sz="0" w:space="0" w:color="auto"/>
        <w:left w:val="none" w:sz="0" w:space="0" w:color="auto"/>
        <w:bottom w:val="none" w:sz="0" w:space="0" w:color="auto"/>
        <w:right w:val="none" w:sz="0" w:space="0" w:color="auto"/>
      </w:divBdr>
    </w:div>
    <w:div w:id="1763835929">
      <w:bodyDiv w:val="1"/>
      <w:marLeft w:val="0"/>
      <w:marRight w:val="0"/>
      <w:marTop w:val="0"/>
      <w:marBottom w:val="0"/>
      <w:divBdr>
        <w:top w:val="none" w:sz="0" w:space="0" w:color="auto"/>
        <w:left w:val="none" w:sz="0" w:space="0" w:color="auto"/>
        <w:bottom w:val="none" w:sz="0" w:space="0" w:color="auto"/>
        <w:right w:val="none" w:sz="0" w:space="0" w:color="auto"/>
      </w:divBdr>
    </w:div>
    <w:div w:id="1767191357">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896626987">
      <w:bodyDiv w:val="1"/>
      <w:marLeft w:val="0"/>
      <w:marRight w:val="0"/>
      <w:marTop w:val="0"/>
      <w:marBottom w:val="0"/>
      <w:divBdr>
        <w:top w:val="none" w:sz="0" w:space="0" w:color="auto"/>
        <w:left w:val="none" w:sz="0" w:space="0" w:color="auto"/>
        <w:bottom w:val="none" w:sz="0" w:space="0" w:color="auto"/>
        <w:right w:val="none" w:sz="0" w:space="0" w:color="auto"/>
      </w:divBdr>
    </w:div>
    <w:div w:id="1912159202">
      <w:bodyDiv w:val="1"/>
      <w:marLeft w:val="0"/>
      <w:marRight w:val="0"/>
      <w:marTop w:val="0"/>
      <w:marBottom w:val="0"/>
      <w:divBdr>
        <w:top w:val="none" w:sz="0" w:space="0" w:color="auto"/>
        <w:left w:val="none" w:sz="0" w:space="0" w:color="auto"/>
        <w:bottom w:val="none" w:sz="0" w:space="0" w:color="auto"/>
        <w:right w:val="none" w:sz="0" w:space="0" w:color="auto"/>
      </w:divBdr>
    </w:div>
    <w:div w:id="1932276902">
      <w:bodyDiv w:val="1"/>
      <w:marLeft w:val="0"/>
      <w:marRight w:val="0"/>
      <w:marTop w:val="0"/>
      <w:marBottom w:val="0"/>
      <w:divBdr>
        <w:top w:val="none" w:sz="0" w:space="0" w:color="auto"/>
        <w:left w:val="none" w:sz="0" w:space="0" w:color="auto"/>
        <w:bottom w:val="none" w:sz="0" w:space="0" w:color="auto"/>
        <w:right w:val="none" w:sz="0" w:space="0" w:color="auto"/>
      </w:divBdr>
    </w:div>
    <w:div w:id="1953631017">
      <w:bodyDiv w:val="1"/>
      <w:marLeft w:val="0"/>
      <w:marRight w:val="0"/>
      <w:marTop w:val="0"/>
      <w:marBottom w:val="0"/>
      <w:divBdr>
        <w:top w:val="none" w:sz="0" w:space="0" w:color="auto"/>
        <w:left w:val="none" w:sz="0" w:space="0" w:color="auto"/>
        <w:bottom w:val="none" w:sz="0" w:space="0" w:color="auto"/>
        <w:right w:val="none" w:sz="0" w:space="0" w:color="auto"/>
      </w:divBdr>
    </w:div>
    <w:div w:id="1962682894">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1979796003">
      <w:bodyDiv w:val="1"/>
      <w:marLeft w:val="0"/>
      <w:marRight w:val="0"/>
      <w:marTop w:val="0"/>
      <w:marBottom w:val="0"/>
      <w:divBdr>
        <w:top w:val="none" w:sz="0" w:space="0" w:color="auto"/>
        <w:left w:val="none" w:sz="0" w:space="0" w:color="auto"/>
        <w:bottom w:val="none" w:sz="0" w:space="0" w:color="auto"/>
        <w:right w:val="none" w:sz="0" w:space="0" w:color="auto"/>
      </w:divBdr>
    </w:div>
    <w:div w:id="1995136829">
      <w:bodyDiv w:val="1"/>
      <w:marLeft w:val="0"/>
      <w:marRight w:val="0"/>
      <w:marTop w:val="0"/>
      <w:marBottom w:val="0"/>
      <w:divBdr>
        <w:top w:val="none" w:sz="0" w:space="0" w:color="auto"/>
        <w:left w:val="none" w:sz="0" w:space="0" w:color="auto"/>
        <w:bottom w:val="none" w:sz="0" w:space="0" w:color="auto"/>
        <w:right w:val="none" w:sz="0" w:space="0" w:color="auto"/>
      </w:divBdr>
    </w:div>
    <w:div w:id="2002460397">
      <w:bodyDiv w:val="1"/>
      <w:marLeft w:val="0"/>
      <w:marRight w:val="0"/>
      <w:marTop w:val="0"/>
      <w:marBottom w:val="0"/>
      <w:divBdr>
        <w:top w:val="none" w:sz="0" w:space="0" w:color="auto"/>
        <w:left w:val="none" w:sz="0" w:space="0" w:color="auto"/>
        <w:bottom w:val="none" w:sz="0" w:space="0" w:color="auto"/>
        <w:right w:val="none" w:sz="0" w:space="0" w:color="auto"/>
      </w:divBdr>
      <w:divsChild>
        <w:div w:id="403065697">
          <w:marLeft w:val="0"/>
          <w:marRight w:val="0"/>
          <w:marTop w:val="0"/>
          <w:marBottom w:val="0"/>
          <w:divBdr>
            <w:top w:val="none" w:sz="0" w:space="0" w:color="auto"/>
            <w:left w:val="none" w:sz="0" w:space="0" w:color="auto"/>
            <w:bottom w:val="none" w:sz="0" w:space="0" w:color="auto"/>
            <w:right w:val="none" w:sz="0" w:space="0" w:color="auto"/>
          </w:divBdr>
          <w:divsChild>
            <w:div w:id="523859550">
              <w:marLeft w:val="0"/>
              <w:marRight w:val="0"/>
              <w:marTop w:val="0"/>
              <w:marBottom w:val="0"/>
              <w:divBdr>
                <w:top w:val="none" w:sz="0" w:space="0" w:color="auto"/>
                <w:left w:val="none" w:sz="0" w:space="0" w:color="auto"/>
                <w:bottom w:val="none" w:sz="0" w:space="0" w:color="auto"/>
                <w:right w:val="none" w:sz="0" w:space="0" w:color="auto"/>
              </w:divBdr>
              <w:divsChild>
                <w:div w:id="262080810">
                  <w:marLeft w:val="0"/>
                  <w:marRight w:val="0"/>
                  <w:marTop w:val="105"/>
                  <w:marBottom w:val="0"/>
                  <w:divBdr>
                    <w:top w:val="none" w:sz="0" w:space="0" w:color="auto"/>
                    <w:left w:val="none" w:sz="0" w:space="0" w:color="auto"/>
                    <w:bottom w:val="none" w:sz="0" w:space="0" w:color="auto"/>
                    <w:right w:val="none" w:sz="0" w:space="0" w:color="auto"/>
                  </w:divBdr>
                  <w:divsChild>
                    <w:div w:id="41368160">
                      <w:marLeft w:val="450"/>
                      <w:marRight w:val="225"/>
                      <w:marTop w:val="0"/>
                      <w:marBottom w:val="0"/>
                      <w:divBdr>
                        <w:top w:val="none" w:sz="0" w:space="0" w:color="auto"/>
                        <w:left w:val="none" w:sz="0" w:space="0" w:color="auto"/>
                        <w:bottom w:val="none" w:sz="0" w:space="0" w:color="auto"/>
                        <w:right w:val="none" w:sz="0" w:space="0" w:color="auto"/>
                      </w:divBdr>
                      <w:divsChild>
                        <w:div w:id="1372002476">
                          <w:marLeft w:val="0"/>
                          <w:marRight w:val="0"/>
                          <w:marTop w:val="0"/>
                          <w:marBottom w:val="600"/>
                          <w:divBdr>
                            <w:top w:val="single" w:sz="6" w:space="0" w:color="314664"/>
                            <w:left w:val="single" w:sz="6" w:space="0" w:color="314664"/>
                            <w:bottom w:val="single" w:sz="6" w:space="0" w:color="314664"/>
                            <w:right w:val="single" w:sz="6" w:space="0" w:color="314664"/>
                          </w:divBdr>
                          <w:divsChild>
                            <w:div w:id="876968484">
                              <w:marLeft w:val="0"/>
                              <w:marRight w:val="0"/>
                              <w:marTop w:val="0"/>
                              <w:marBottom w:val="0"/>
                              <w:divBdr>
                                <w:top w:val="none" w:sz="0" w:space="0" w:color="auto"/>
                                <w:left w:val="none" w:sz="0" w:space="0" w:color="auto"/>
                                <w:bottom w:val="none" w:sz="0" w:space="0" w:color="auto"/>
                                <w:right w:val="none" w:sz="0" w:space="0" w:color="auto"/>
                              </w:divBdr>
                              <w:divsChild>
                                <w:div w:id="1662150751">
                                  <w:marLeft w:val="0"/>
                                  <w:marRight w:val="0"/>
                                  <w:marTop w:val="0"/>
                                  <w:marBottom w:val="0"/>
                                  <w:divBdr>
                                    <w:top w:val="none" w:sz="0" w:space="0" w:color="auto"/>
                                    <w:left w:val="none" w:sz="0" w:space="0" w:color="auto"/>
                                    <w:bottom w:val="none" w:sz="0" w:space="0" w:color="auto"/>
                                    <w:right w:val="none" w:sz="0" w:space="0" w:color="auto"/>
                                  </w:divBdr>
                                  <w:divsChild>
                                    <w:div w:id="1604266049">
                                      <w:marLeft w:val="0"/>
                                      <w:marRight w:val="0"/>
                                      <w:marTop w:val="0"/>
                                      <w:marBottom w:val="0"/>
                                      <w:divBdr>
                                        <w:top w:val="none" w:sz="0" w:space="0" w:color="auto"/>
                                        <w:left w:val="none" w:sz="0" w:space="0" w:color="auto"/>
                                        <w:bottom w:val="none" w:sz="0" w:space="0" w:color="auto"/>
                                        <w:right w:val="none" w:sz="0" w:space="0" w:color="auto"/>
                                      </w:divBdr>
                                      <w:divsChild>
                                        <w:div w:id="695933813">
                                          <w:marLeft w:val="0"/>
                                          <w:marRight w:val="0"/>
                                          <w:marTop w:val="0"/>
                                          <w:marBottom w:val="0"/>
                                          <w:divBdr>
                                            <w:top w:val="none" w:sz="0" w:space="0" w:color="auto"/>
                                            <w:left w:val="none" w:sz="0" w:space="0" w:color="auto"/>
                                            <w:bottom w:val="none" w:sz="0" w:space="0" w:color="auto"/>
                                            <w:right w:val="none" w:sz="0" w:space="0" w:color="auto"/>
                                          </w:divBdr>
                                          <w:divsChild>
                                            <w:div w:id="2017994329">
                                              <w:marLeft w:val="0"/>
                                              <w:marRight w:val="0"/>
                                              <w:marTop w:val="0"/>
                                              <w:marBottom w:val="0"/>
                                              <w:divBdr>
                                                <w:top w:val="none" w:sz="0" w:space="0" w:color="auto"/>
                                                <w:left w:val="none" w:sz="0" w:space="0" w:color="auto"/>
                                                <w:bottom w:val="none" w:sz="0" w:space="0" w:color="auto"/>
                                                <w:right w:val="none" w:sz="0" w:space="0" w:color="auto"/>
                                              </w:divBdr>
                                              <w:divsChild>
                                                <w:div w:id="238173688">
                                                  <w:marLeft w:val="0"/>
                                                  <w:marRight w:val="0"/>
                                                  <w:marTop w:val="0"/>
                                                  <w:marBottom w:val="0"/>
                                                  <w:divBdr>
                                                    <w:top w:val="none" w:sz="0" w:space="0" w:color="auto"/>
                                                    <w:left w:val="none" w:sz="0" w:space="0" w:color="auto"/>
                                                    <w:bottom w:val="none" w:sz="0" w:space="0" w:color="auto"/>
                                                    <w:right w:val="none" w:sz="0" w:space="0" w:color="auto"/>
                                                  </w:divBdr>
                                                  <w:divsChild>
                                                    <w:div w:id="534586254">
                                                      <w:marLeft w:val="0"/>
                                                      <w:marRight w:val="0"/>
                                                      <w:marTop w:val="0"/>
                                                      <w:marBottom w:val="0"/>
                                                      <w:divBdr>
                                                        <w:top w:val="none" w:sz="0" w:space="0" w:color="auto"/>
                                                        <w:left w:val="none" w:sz="0" w:space="0" w:color="auto"/>
                                                        <w:bottom w:val="none" w:sz="0" w:space="0" w:color="auto"/>
                                                        <w:right w:val="none" w:sz="0" w:space="0" w:color="auto"/>
                                                      </w:divBdr>
                                                      <w:divsChild>
                                                        <w:div w:id="801581029">
                                                          <w:marLeft w:val="0"/>
                                                          <w:marRight w:val="0"/>
                                                          <w:marTop w:val="0"/>
                                                          <w:marBottom w:val="0"/>
                                                          <w:divBdr>
                                                            <w:top w:val="none" w:sz="0" w:space="0" w:color="auto"/>
                                                            <w:left w:val="none" w:sz="0" w:space="0" w:color="auto"/>
                                                            <w:bottom w:val="none" w:sz="0" w:space="0" w:color="auto"/>
                                                            <w:right w:val="none" w:sz="0" w:space="0" w:color="auto"/>
                                                          </w:divBdr>
                                                          <w:divsChild>
                                                            <w:div w:id="151908106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88018">
      <w:bodyDiv w:val="1"/>
      <w:marLeft w:val="0"/>
      <w:marRight w:val="0"/>
      <w:marTop w:val="0"/>
      <w:marBottom w:val="0"/>
      <w:divBdr>
        <w:top w:val="none" w:sz="0" w:space="0" w:color="auto"/>
        <w:left w:val="none" w:sz="0" w:space="0" w:color="auto"/>
        <w:bottom w:val="none" w:sz="0" w:space="0" w:color="auto"/>
        <w:right w:val="none" w:sz="0" w:space="0" w:color="auto"/>
      </w:divBdr>
    </w:div>
    <w:div w:id="2039969180">
      <w:bodyDiv w:val="1"/>
      <w:marLeft w:val="0"/>
      <w:marRight w:val="0"/>
      <w:marTop w:val="0"/>
      <w:marBottom w:val="0"/>
      <w:divBdr>
        <w:top w:val="none" w:sz="0" w:space="0" w:color="auto"/>
        <w:left w:val="none" w:sz="0" w:space="0" w:color="auto"/>
        <w:bottom w:val="none" w:sz="0" w:space="0" w:color="auto"/>
        <w:right w:val="none" w:sz="0" w:space="0" w:color="auto"/>
      </w:divBdr>
    </w:div>
    <w:div w:id="2042168305">
      <w:bodyDiv w:val="1"/>
      <w:marLeft w:val="0"/>
      <w:marRight w:val="0"/>
      <w:marTop w:val="0"/>
      <w:marBottom w:val="0"/>
      <w:divBdr>
        <w:top w:val="none" w:sz="0" w:space="0" w:color="auto"/>
        <w:left w:val="none" w:sz="0" w:space="0" w:color="auto"/>
        <w:bottom w:val="none" w:sz="0" w:space="0" w:color="auto"/>
        <w:right w:val="none" w:sz="0" w:space="0" w:color="auto"/>
      </w:divBdr>
    </w:div>
    <w:div w:id="2058159411">
      <w:bodyDiv w:val="1"/>
      <w:marLeft w:val="0"/>
      <w:marRight w:val="0"/>
      <w:marTop w:val="0"/>
      <w:marBottom w:val="0"/>
      <w:divBdr>
        <w:top w:val="none" w:sz="0" w:space="0" w:color="auto"/>
        <w:left w:val="none" w:sz="0" w:space="0" w:color="auto"/>
        <w:bottom w:val="none" w:sz="0" w:space="0" w:color="auto"/>
        <w:right w:val="none" w:sz="0" w:space="0" w:color="auto"/>
      </w:divBdr>
    </w:div>
    <w:div w:id="2064401678">
      <w:bodyDiv w:val="1"/>
      <w:marLeft w:val="0"/>
      <w:marRight w:val="0"/>
      <w:marTop w:val="0"/>
      <w:marBottom w:val="0"/>
      <w:divBdr>
        <w:top w:val="none" w:sz="0" w:space="0" w:color="auto"/>
        <w:left w:val="none" w:sz="0" w:space="0" w:color="auto"/>
        <w:bottom w:val="none" w:sz="0" w:space="0" w:color="auto"/>
        <w:right w:val="none" w:sz="0" w:space="0" w:color="auto"/>
      </w:divBdr>
    </w:div>
    <w:div w:id="2067532804">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 w:id="2122336908">
      <w:bodyDiv w:val="1"/>
      <w:marLeft w:val="0"/>
      <w:marRight w:val="0"/>
      <w:marTop w:val="0"/>
      <w:marBottom w:val="0"/>
      <w:divBdr>
        <w:top w:val="none" w:sz="0" w:space="0" w:color="auto"/>
        <w:left w:val="none" w:sz="0" w:space="0" w:color="auto"/>
        <w:bottom w:val="none" w:sz="0" w:space="0" w:color="auto"/>
        <w:right w:val="none" w:sz="0" w:space="0" w:color="auto"/>
      </w:divBdr>
    </w:div>
    <w:div w:id="2129081454">
      <w:bodyDiv w:val="1"/>
      <w:marLeft w:val="0"/>
      <w:marRight w:val="0"/>
      <w:marTop w:val="0"/>
      <w:marBottom w:val="0"/>
      <w:divBdr>
        <w:top w:val="none" w:sz="0" w:space="0" w:color="auto"/>
        <w:left w:val="none" w:sz="0" w:space="0" w:color="auto"/>
        <w:bottom w:val="none" w:sz="0" w:space="0" w:color="auto"/>
        <w:right w:val="none" w:sz="0" w:space="0" w:color="auto"/>
      </w:divBdr>
    </w:div>
    <w:div w:id="213053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www.health.govt.nz/publication/evaluation-funded-family-care" TargetMode="External"/><Relationship Id="rId117" Type="http://schemas.openxmlformats.org/officeDocument/2006/relationships/hyperlink" Target="http://www.health.govt.nz/our-work/disability-services/pasifika-disability-support-services/faiva-ora-leadership-group" TargetMode="External"/><Relationship Id="rId21" Type="http://schemas.openxmlformats.org/officeDocument/2006/relationships/hyperlink" Target="http://www.odi.govt.nz/nz-disability-strategy/about-the-strategy/new-zealand-disability-strategy-2016-2026/" TargetMode="External"/><Relationship Id="rId42" Type="http://schemas.openxmlformats.org/officeDocument/2006/relationships/hyperlink" Target="http://www.msd.govt.nz/documents/about-msd-and-our-work/publications-resources/resources/child-impact-assessment-guide.pdf" TargetMode="External"/><Relationship Id="rId47" Type="http://schemas.openxmlformats.org/officeDocument/2006/relationships/hyperlink" Target="http://www.legislation.govt.nz/regulation/public/2018/0223/latest/whole.html" TargetMode="External"/><Relationship Id="rId63" Type="http://schemas.openxmlformats.org/officeDocument/2006/relationships/hyperlink" Target="http://www.hdc.org.nz/your-rights/about-the-code/code-of-health-and-disability-services-consumers-rights/" TargetMode="External"/><Relationship Id="rId68" Type="http://schemas.openxmlformats.org/officeDocument/2006/relationships/hyperlink" Target="https://www.mentalhealth.inquiry.govt.nz/inquiry-report/" TargetMode="External"/><Relationship Id="rId84" Type="http://schemas.openxmlformats.org/officeDocument/2006/relationships/hyperlink" Target="http://www.pasefikaproud.co.nz/" TargetMode="External"/><Relationship Id="rId89" Type="http://schemas.openxmlformats.org/officeDocument/2006/relationships/hyperlink" Target="http://www.workandincome.govt.nz/eligibility/health-and-disability/counselling.html" TargetMode="External"/><Relationship Id="rId112" Type="http://schemas.openxmlformats.org/officeDocument/2006/relationships/hyperlink" Target="http://www.tepou.co.nz/uploads/files/resource-assets/improving-access-to-primary-care-for-disabled-people.pdf" TargetMode="External"/><Relationship Id="rId133" Type="http://schemas.openxmlformats.org/officeDocument/2006/relationships/hyperlink" Target="https://sportnz.org.nz/assets/Uploads/Accessibility-Design-Guide-and-Checklist.pdf" TargetMode="External"/><Relationship Id="rId138" Type="http://schemas.openxmlformats.org/officeDocument/2006/relationships/hyperlink" Target="http://www.stats.govt.nz/news/te-kupenga-2018-survey-of-maori-well-being-begins" TargetMode="External"/><Relationship Id="rId16" Type="http://schemas.openxmlformats.org/officeDocument/2006/relationships/hyperlink" Target="http://www.legislation.govt.nz/act/public/2018/0032/latest/whole.html" TargetMode="External"/><Relationship Id="rId107" Type="http://schemas.openxmlformats.org/officeDocument/2006/relationships/hyperlink" Target="https://parents.education.govt.nz/learning-support/learning-support-needs/resolving-problems-about-your-childs-learning-support/" TargetMode="External"/><Relationship Id="rId11" Type="http://schemas.openxmlformats.org/officeDocument/2006/relationships/hyperlink" Target="http://www.stats.govt.nz/information-releases/well-being-statistics-2016" TargetMode="External"/><Relationship Id="rId32" Type="http://schemas.openxmlformats.org/officeDocument/2006/relationships/hyperlink" Target="http://inclusive.tki.org.nz/guides" TargetMode="External"/><Relationship Id="rId37" Type="http://schemas.openxmlformats.org/officeDocument/2006/relationships/hyperlink" Target="https://www.health.govt.nz/our-work/disability-services/maori-disability-support-services/te-ao-marama-group" TargetMode="External"/><Relationship Id="rId53" Type="http://schemas.openxmlformats.org/officeDocument/2006/relationships/hyperlink" Target="https://www.likeminds.org.nz/" TargetMode="External"/><Relationship Id="rId58" Type="http://schemas.openxmlformats.org/officeDocument/2006/relationships/hyperlink" Target="http://www.mfe.govt.nz/sites/default/files/urban-design-protocol-colour.pdf" TargetMode="External"/><Relationship Id="rId74" Type="http://schemas.openxmlformats.org/officeDocument/2006/relationships/hyperlink" Target="http://www.health.govt.nz/publication/office-director-mental-health-annual-report-2016" TargetMode="External"/><Relationship Id="rId79" Type="http://schemas.openxmlformats.org/officeDocument/2006/relationships/hyperlink" Target="http://www.education.govt.nz/ministry-of-education/legislation/the-education-update-amendment-act/" TargetMode="External"/><Relationship Id="rId102" Type="http://schemas.openxmlformats.org/officeDocument/2006/relationships/hyperlink" Target="http://www.digital.govt.nz/standards-and-guidance/design-and-ux/accessibility/" TargetMode="External"/><Relationship Id="rId123" Type="http://schemas.openxmlformats.org/officeDocument/2006/relationships/hyperlink" Target="https://www.nzdsn.org.nz/" TargetMode="External"/><Relationship Id="rId128" Type="http://schemas.openxmlformats.org/officeDocument/2006/relationships/hyperlink" Target="http://www.odi.govt.nz/nz-disability-strategy/employment-and-economic-security/" TargetMode="External"/><Relationship Id="rId5" Type="http://schemas.openxmlformats.org/officeDocument/2006/relationships/hyperlink" Target="https://www.odi.govt.nz/nz-disability-strategy/about-the-strategy/new-zealand-disability-strategy-2016-2026/read-the-new-disability-strategy/new-zealand-disability-strategy-read-online/getting-it-going-who-is-involved/" TargetMode="External"/><Relationship Id="rId90" Type="http://schemas.openxmlformats.org/officeDocument/2006/relationships/hyperlink" Target="https://www.odi.govt.nz/nz-disability-strategy/outcome-7-choice-and-control/" TargetMode="External"/><Relationship Id="rId95" Type="http://schemas.openxmlformats.org/officeDocument/2006/relationships/hyperlink" Target="https://www.health.govt.nz/your-health/services-and-support/disability-services/types-disability-support/new-model-supporting-disabled-people/choice-community-living" TargetMode="External"/><Relationship Id="rId22" Type="http://schemas.openxmlformats.org/officeDocument/2006/relationships/hyperlink" Target="http://www.odi.govt.nz/nz-disability-strategy/about-the-strategy/new-zealand-disability-strategy-2016-2026/2016-revision-of-the-strategy/new-zealand-disability-strategy-revision-reference-group/" TargetMode="External"/><Relationship Id="rId27" Type="http://schemas.openxmlformats.org/officeDocument/2006/relationships/hyperlink" Target="https://www.tpk.govt.nz/en/whakamahia/whanau-ora" TargetMode="External"/><Relationship Id="rId43" Type="http://schemas.openxmlformats.org/officeDocument/2006/relationships/hyperlink" Target="https://practice.orangatamariki.govt.nz/knowledge-base-practice-frameworks/" TargetMode="External"/><Relationship Id="rId48" Type="http://schemas.openxmlformats.org/officeDocument/2006/relationships/hyperlink" Target="https://www.orangatamariki.govt.nz/news/care-standards-support-tamariki-and-caregivers/" TargetMode="External"/><Relationship Id="rId64" Type="http://schemas.openxmlformats.org/officeDocument/2006/relationships/hyperlink" Target="http://www.hdc.org.nz/your-rights/about-the-code/code-of-health-and-disability-services-consumers-rights/" TargetMode="External"/><Relationship Id="rId69" Type="http://schemas.openxmlformats.org/officeDocument/2006/relationships/hyperlink" Target="https://mentalhealth.inquiry.govt.nz/inquiry-report/he-ara-oranga/" TargetMode="External"/><Relationship Id="rId113" Type="http://schemas.openxmlformats.org/officeDocument/2006/relationships/hyperlink" Target="http://www.health.govt.nz/our-work/populations/maori-health/he-korowai-oranga" TargetMode="External"/><Relationship Id="rId118" Type="http://schemas.openxmlformats.org/officeDocument/2006/relationships/hyperlink" Target="http://www.health.govt.nz/our-work/disability-services/pasifika-disability-support-services/faiva-ora-leadership-group" TargetMode="External"/><Relationship Id="rId134" Type="http://schemas.openxmlformats.org/officeDocument/2006/relationships/hyperlink" Target="http://www.tepapa.govt.nz/visit/plan-your-visit/accessibility" TargetMode="External"/><Relationship Id="rId139" Type="http://schemas.openxmlformats.org/officeDocument/2006/relationships/hyperlink" Target="https://www.health.govt.nz/our-work/disability-services/maori-disability-support-services/te-ao-marama-group" TargetMode="External"/><Relationship Id="rId8" Type="http://schemas.openxmlformats.org/officeDocument/2006/relationships/hyperlink" Target="https://www.msd.govt.nz/about-msd-and-our-work/newsroom/2018/accessible-public-information.html" TargetMode="External"/><Relationship Id="rId51" Type="http://schemas.openxmlformats.org/officeDocument/2006/relationships/hyperlink" Target="http://www.corrections.govt.nz/about_us/who_we_are/office_of_the_inspectorate.html" TargetMode="External"/><Relationship Id="rId72" Type="http://schemas.openxmlformats.org/officeDocument/2006/relationships/hyperlink" Target="https://www.tepou.co.nz/initiatives/safe-practice-effective-communication/225" TargetMode="External"/><Relationship Id="rId80" Type="http://schemas.openxmlformats.org/officeDocument/2006/relationships/hyperlink" Target="http://www.education.govt.nz/news/new-rules-for-using-physical-restraint-in-schools/" TargetMode="External"/><Relationship Id="rId85" Type="http://schemas.openxmlformats.org/officeDocument/2006/relationships/hyperlink" Target="https://etuwhanau.org.nz" TargetMode="External"/><Relationship Id="rId93" Type="http://schemas.openxmlformats.org/officeDocument/2006/relationships/hyperlink" Target="http://www.donaldbeasley.org.nz/" TargetMode="External"/><Relationship Id="rId98" Type="http://schemas.openxmlformats.org/officeDocument/2006/relationships/hyperlink" Target="https://www.odi.govt.nz/nz-disability-strategy/outcome-5-accessibility" TargetMode="External"/><Relationship Id="rId121" Type="http://schemas.openxmlformats.org/officeDocument/2006/relationships/hyperlink" Target="http://archives.govt.nz/provenance-of-power/te-tiriti-o-waitangi/view-te-tiriti-o-waitangi-online" TargetMode="External"/><Relationship Id="rId142" Type="http://schemas.openxmlformats.org/officeDocument/2006/relationships/hyperlink" Target="https://www.odi.govt.nz/united-nations-convention-on-the-rights-of-persons-with-disabilities/nzs-monitoring-framework/monitoring-reports-and-responses/reports-from-imm-and-responses-from-government/" TargetMode="External"/><Relationship Id="rId3" Type="http://schemas.openxmlformats.org/officeDocument/2006/relationships/hyperlink" Target="https://maoridictionary.co.nz/search?idiom=&amp;phrase=&amp;proverb=&amp;loan=&amp;histLoanWords=&amp;keywords=whanau" TargetMode="External"/><Relationship Id="rId12" Type="http://schemas.openxmlformats.org/officeDocument/2006/relationships/hyperlink" Target="http://www.stats.govt.nz/information-releases/labour-market-statistics-june-2018-quarter" TargetMode="External"/><Relationship Id="rId17" Type="http://schemas.openxmlformats.org/officeDocument/2006/relationships/hyperlink" Target="http://legislation.govt.nz/act/public/2000/0091/72.0/DLM80051.html" TargetMode="External"/><Relationship Id="rId25" Type="http://schemas.openxmlformats.org/officeDocument/2006/relationships/hyperlink" Target="http://www.health.govt.nz/publication/targeted-engagement-funded-family-care-and-paid-family-care" TargetMode="External"/><Relationship Id="rId33" Type="http://schemas.openxmlformats.org/officeDocument/2006/relationships/hyperlink" Target="http://www.stats.govt.nz/information-releases/disability-survey-2013" TargetMode="External"/><Relationship Id="rId38" Type="http://schemas.openxmlformats.org/officeDocument/2006/relationships/hyperlink" Target="http://www.health.govt.nz/our-work/disability-services/pasifika-disability-support-services/faiva-ora-leadership-group" TargetMode="External"/><Relationship Id="rId46" Type="http://schemas.openxmlformats.org/officeDocument/2006/relationships/hyperlink" Target="https://manawhaikaha.co.nz/about-us/mana-whaikaha-korero/" TargetMode="External"/><Relationship Id="rId59" Type="http://schemas.openxmlformats.org/officeDocument/2006/relationships/hyperlink" Target="https://www.hud.govt.nz/residential-housing/kiwibuild/" TargetMode="External"/><Relationship Id="rId67" Type="http://schemas.openxmlformats.org/officeDocument/2006/relationships/hyperlink" Target="http://www.growingup.co.nz/en.html" TargetMode="External"/><Relationship Id="rId103" Type="http://schemas.openxmlformats.org/officeDocument/2006/relationships/hyperlink" Target="http://www.msd.govt.nz/about-msd-and-our-work/work-programmes/policy-development/disabled-children-project/index.html" TargetMode="External"/><Relationship Id="rId108" Type="http://schemas.openxmlformats.org/officeDocument/2006/relationships/hyperlink" Target="https://gazette.govt.nz/notice/id/2017-gs3288" TargetMode="External"/><Relationship Id="rId116" Type="http://schemas.openxmlformats.org/officeDocument/2006/relationships/hyperlink" Target="http://www.health.govt.nz/publication/ala-moui-pathways-pacific-health-and-wellbeing-2014-2018" TargetMode="External"/><Relationship Id="rId124" Type="http://schemas.openxmlformats.org/officeDocument/2006/relationships/hyperlink" Target="https://www.nzdsn.org.nz/employment-support-practice-guidelines-how-to-support-disabled-people-to-get-the-job-they-want/" TargetMode="External"/><Relationship Id="rId129" Type="http://schemas.openxmlformats.org/officeDocument/2006/relationships/hyperlink" Target="http://www.stats.govt.nz/information-releases/household-labour-force-survey-estimated-working-age-population-december-2018-quarter" TargetMode="External"/><Relationship Id="rId137" Type="http://schemas.openxmlformats.org/officeDocument/2006/relationships/hyperlink" Target="http://www.census.govt.nz/support-resources" TargetMode="External"/><Relationship Id="rId20" Type="http://schemas.openxmlformats.org/officeDocument/2006/relationships/hyperlink" Target="http://www.hrc.co.nz/your-rights/people-disabilities/our-work/making-disability-rights-real/" TargetMode="External"/><Relationship Id="rId41" Type="http://schemas.openxmlformats.org/officeDocument/2006/relationships/hyperlink" Target="http://www.msd.govt.nz/about-msd-and-our-work/publications-resources/resources/child-impact-assessment.html" TargetMode="External"/><Relationship Id="rId54" Type="http://schemas.openxmlformats.org/officeDocument/2006/relationships/hyperlink" Target="https://www.health.govt.nz/publication/minds-mine-national-plan-2014-2019" TargetMode="External"/><Relationship Id="rId62" Type="http://schemas.openxmlformats.org/officeDocument/2006/relationships/hyperlink" Target="http://deaf.org.nz/" TargetMode="External"/><Relationship Id="rId70" Type="http://schemas.openxmlformats.org/officeDocument/2006/relationships/hyperlink" Target="http://www.odi.govt.nz/nz-disability-strategy/outcome-7-choice-and-control/" TargetMode="External"/><Relationship Id="rId75" Type="http://schemas.openxmlformats.org/officeDocument/2006/relationships/hyperlink" Target="https://gazette.govt.nz/notice/id/2018-go2603" TargetMode="External"/><Relationship Id="rId83" Type="http://schemas.openxmlformats.org/officeDocument/2006/relationships/hyperlink" Target="http://areyouok.org.nz/" TargetMode="External"/><Relationship Id="rId88" Type="http://schemas.openxmlformats.org/officeDocument/2006/relationships/hyperlink" Target="http://www.health.govt.nz/publication/prevention-and-management-abuse-guide-services-funded-disability-support-services" TargetMode="External"/><Relationship Id="rId91" Type="http://schemas.openxmlformats.org/officeDocument/2006/relationships/hyperlink" Target="http://www.legislation.govt.nz/act/public/1977/0112/latest/DLM17680.html" TargetMode="External"/><Relationship Id="rId96" Type="http://schemas.openxmlformats.org/officeDocument/2006/relationships/hyperlink" Target="http://www.stats.govt.nz/information-releases/well-being-statistics-2016" TargetMode="External"/><Relationship Id="rId111" Type="http://schemas.openxmlformats.org/officeDocument/2006/relationships/hyperlink" Target="http://www.odi.govt.nz/nz-disability-strategy/outcome-3-health-and-wellbeing/" TargetMode="External"/><Relationship Id="rId132" Type="http://schemas.openxmlformats.org/officeDocument/2006/relationships/hyperlink" Target="http://www.elections.org.nz/research-statistics/research/voter-and-non-voter-surveys" TargetMode="External"/><Relationship Id="rId140" Type="http://schemas.openxmlformats.org/officeDocument/2006/relationships/hyperlink" Target="http://www.hrc.co.nz/your-rights/people-disabilities/our-work/making-disability-rights-real/" TargetMode="External"/><Relationship Id="rId1" Type="http://schemas.openxmlformats.org/officeDocument/2006/relationships/hyperlink" Target="https://maoridictionary.co.nz/search?idiom=&amp;phrase=&amp;proverb=&amp;loan=&amp;histLoanWords=&amp;keywords=aotearoa" TargetMode="External"/><Relationship Id="rId6" Type="http://schemas.openxmlformats.org/officeDocument/2006/relationships/hyperlink" Target="https://www.odi.govt.nz/" TargetMode="External"/><Relationship Id="rId15" Type="http://schemas.openxmlformats.org/officeDocument/2006/relationships/hyperlink" Target="https://manawhaikaha.co.nz/about-us/mana-whaikaha-korero/" TargetMode="External"/><Relationship Id="rId23" Type="http://schemas.openxmlformats.org/officeDocument/2006/relationships/hyperlink" Target="http://www.odi.govt.nz/united-nations-convention-on-the-rights-of-persons-with-disabilities/nzs-monitoring-framework/report-on-the-review-of-disabled-people-led-monitoring/" TargetMode="External"/><Relationship Id="rId28" Type="http://schemas.openxmlformats.org/officeDocument/2006/relationships/hyperlink" Target="https://www.education.govt.nz/early-childhood/teaching-and-learning/learning-tools-and-resources/early-intervention/" TargetMode="External"/><Relationship Id="rId36" Type="http://schemas.openxmlformats.org/officeDocument/2006/relationships/hyperlink" Target="https://www.odi.govt.nz/nz-disability-strategy/about-the-strategy/new-zealand-disability-strategy-2016-2026/2016-revision-of-the-strategy/new-zealand-disability-strategy-revision-reference-group/" TargetMode="External"/><Relationship Id="rId49" Type="http://schemas.openxmlformats.org/officeDocument/2006/relationships/hyperlink" Target="http://www.hdc.org.nz/" TargetMode="External"/><Relationship Id="rId57" Type="http://schemas.openxmlformats.org/officeDocument/2006/relationships/hyperlink" Target="http://www.odi.govt.nz/nz-disability-strategy/outcome-5-accessibility/" TargetMode="External"/><Relationship Id="rId106" Type="http://schemas.openxmlformats.org/officeDocument/2006/relationships/hyperlink" Target="http://www.nzdsa.org.nz/" TargetMode="External"/><Relationship Id="rId114" Type="http://schemas.openxmlformats.org/officeDocument/2006/relationships/hyperlink" Target="http://www.health.govt.nz/publication/whaia-te-ao-marama-2018-2022-maori-disability-action-plan" TargetMode="External"/><Relationship Id="rId119" Type="http://schemas.openxmlformats.org/officeDocument/2006/relationships/hyperlink" Target="http://www.health.govt.nz/publication/new-zealand-framework-dementia-care" TargetMode="External"/><Relationship Id="rId127" Type="http://schemas.openxmlformats.org/officeDocument/2006/relationships/hyperlink" Target="http://www.employment.govt.nz/hours-and-wages/pay/minimum-wage/minimum-wage-exemptions/" TargetMode="External"/><Relationship Id="rId10" Type="http://schemas.openxmlformats.org/officeDocument/2006/relationships/hyperlink" Target="http://www.washingtongroup-disability.com/" TargetMode="External"/><Relationship Id="rId31" Type="http://schemas.openxmlformats.org/officeDocument/2006/relationships/hyperlink" Target="https://education.govt.nz/school/student-support/special-education/intensive-wraparound-service-iws/" TargetMode="External"/><Relationship Id="rId44" Type="http://schemas.openxmlformats.org/officeDocument/2006/relationships/hyperlink" Target="http://www.orangatamariki.govt.nz/about-us/overview/" TargetMode="External"/><Relationship Id="rId52" Type="http://schemas.openxmlformats.org/officeDocument/2006/relationships/hyperlink" Target="http://www.legislation.govt.nz/regulation/public/2018/0111/latest/LMS56030.html" TargetMode="External"/><Relationship Id="rId60" Type="http://schemas.openxmlformats.org/officeDocument/2006/relationships/hyperlink" Target="http://www.nzta.govt.nz/assets/userfiles/transport-data/PTPerformance.html" TargetMode="External"/><Relationship Id="rId65" Type="http://schemas.openxmlformats.org/officeDocument/2006/relationships/hyperlink" Target="http://www.health.govt.nz/publication/funded-family-care-operational-policy" TargetMode="External"/><Relationship Id="rId73" Type="http://schemas.openxmlformats.org/officeDocument/2006/relationships/hyperlink" Target="http://www.health.govt.nz/publication/night-safety-procedures-transitional-guideline" TargetMode="External"/><Relationship Id="rId78" Type="http://schemas.openxmlformats.org/officeDocument/2006/relationships/hyperlink" Target="http://www.ombudsman.parliament.nz/what-we-do/protecting-your-rights/monitoring-places-of-detention" TargetMode="External"/><Relationship Id="rId81" Type="http://schemas.openxmlformats.org/officeDocument/2006/relationships/hyperlink" Target="http://www.education.govt.nz/assets/Documents/School/Managing-and-supporting-students/Guidance-for-New-Zealand-Schools-on-Behaviour-Mgmt-to-Minimise-Physical-....pdf" TargetMode="External"/><Relationship Id="rId86" Type="http://schemas.openxmlformats.org/officeDocument/2006/relationships/hyperlink" Target="https://safetotalk.nz" TargetMode="External"/><Relationship Id="rId94" Type="http://schemas.openxmlformats.org/officeDocument/2006/relationships/hyperlink" Target="http://www.health.govt.nz/system/files/documents/publications/resettlement-of-kimberley-residents.pdf" TargetMode="External"/><Relationship Id="rId99" Type="http://schemas.openxmlformats.org/officeDocument/2006/relationships/hyperlink" Target="https://www.msd.govt.nz/about-msd-and-our-work/newsroom/2018/accessible-public-information.html" TargetMode="External"/><Relationship Id="rId101" Type="http://schemas.openxmlformats.org/officeDocument/2006/relationships/hyperlink" Target="http://www.parliament.nz/resource/en-NZ/SCR_74810/949a5e80d88b6ccea3f190aa4fe37137834e81bc" TargetMode="External"/><Relationship Id="rId122" Type="http://schemas.openxmlformats.org/officeDocument/2006/relationships/hyperlink" Target="https://www.hdc.org.nz/your-rights/about-the-code/code-of-health-and-disability-services-consumers-rights/" TargetMode="External"/><Relationship Id="rId130" Type="http://schemas.openxmlformats.org/officeDocument/2006/relationships/hyperlink" Target="http://www.legislation.govt.nz/act/public/2018/0057/18.0/LMS8294.html" TargetMode="External"/><Relationship Id="rId135" Type="http://schemas.openxmlformats.org/officeDocument/2006/relationships/hyperlink" Target="http://www.census.govt.nz/how-can-i-do-it/" TargetMode="External"/><Relationship Id="rId4" Type="http://schemas.openxmlformats.org/officeDocument/2006/relationships/hyperlink" Target="https://www.odi.govt.nz/nz-disability-strategy/about-the-strategy/new-zealand-disability-strategy-2016-2026/read-the-new-disability-strategy/" TargetMode="External"/><Relationship Id="rId9" Type="http://schemas.openxmlformats.org/officeDocument/2006/relationships/hyperlink" Target="http://www.building.govt.nz/building-code-compliance/d-access/accessible-buildings/" TargetMode="External"/><Relationship Id="rId13" Type="http://schemas.openxmlformats.org/officeDocument/2006/relationships/hyperlink" Target="https://www.msd.govt.nz/about-msd-and-our-work/publications-resources/corporate/annual-report/2016-2017/reducing-the-welfare-liability.html" TargetMode="External"/><Relationship Id="rId18" Type="http://schemas.openxmlformats.org/officeDocument/2006/relationships/hyperlink" Target="http://www.odi.govt.nz/nz-disability-strategy/disability-action-plan/" TargetMode="External"/><Relationship Id="rId39" Type="http://schemas.openxmlformats.org/officeDocument/2006/relationships/hyperlink" Target="http://www.msd.govt.nz/documents/about-msd-and-our-work/work-programmes/initiatives/weag/welfare-expert-advisory-group-appointment-of-members-cabinet-paper.pdf" TargetMode="External"/><Relationship Id="rId109" Type="http://schemas.openxmlformats.org/officeDocument/2006/relationships/hyperlink" Target="https://www.beehive.govt.nz/release/new-workforce-game-changer-kids-learning-needs" TargetMode="External"/><Relationship Id="rId34" Type="http://schemas.openxmlformats.org/officeDocument/2006/relationships/hyperlink" Target="http://www.areyouok.org.nz/assets/AreyouOK/Resources/disability-booklet-newest-1.pdf" TargetMode="External"/><Relationship Id="rId50" Type="http://schemas.openxmlformats.org/officeDocument/2006/relationships/hyperlink" Target="http://www.ombudsman.parliament.nz/" TargetMode="External"/><Relationship Id="rId55" Type="http://schemas.openxmlformats.org/officeDocument/2006/relationships/hyperlink" Target="http://msd.govt.nz/about-msd-and-our-work/work-programmes/initiatives/disabilityconfidentnz/index.html" TargetMode="External"/><Relationship Id="rId76" Type="http://schemas.openxmlformats.org/officeDocument/2006/relationships/hyperlink" Target="http://www.health.govt.nz/our-work/regulation-health-and-disability-system/certification-health-care-services/services-standards" TargetMode="External"/><Relationship Id="rId97" Type="http://schemas.openxmlformats.org/officeDocument/2006/relationships/hyperlink" Target="http://www.health.govt.nz/our-work/disability-services/contracting-and-working-disability-support-services/equipment-and-modification-services" TargetMode="External"/><Relationship Id="rId104" Type="http://schemas.openxmlformats.org/officeDocument/2006/relationships/hyperlink" Target="http://www.msd.govt.nz/about-msd-and-our-work/work-programmes/policy-development/disabled-children-project/index.html" TargetMode="External"/><Relationship Id="rId120" Type="http://schemas.openxmlformats.org/officeDocument/2006/relationships/hyperlink" Target="http://www.health.govt.nz/publication/healthy-ageing-strategy" TargetMode="External"/><Relationship Id="rId125" Type="http://schemas.openxmlformats.org/officeDocument/2006/relationships/hyperlink" Target="https://www.msd.govt.nz/about-msd-and-our-work/work-programmes/initiatives/disabilityconfidentnz/lead-toolkit/index.html" TargetMode="External"/><Relationship Id="rId141" Type="http://schemas.openxmlformats.org/officeDocument/2006/relationships/hyperlink" Target="http://www.odi.govt.nz/united-nations-convention-on-the-rights-of-persons-with-disabilities/nzs-monitoring-framework/report-on-the-review-of-disabled-people-led-monitoring/" TargetMode="External"/><Relationship Id="rId7" Type="http://schemas.openxmlformats.org/officeDocument/2006/relationships/hyperlink" Target="http://www.odi.govt.nz/nzsl/" TargetMode="External"/><Relationship Id="rId71" Type="http://schemas.openxmlformats.org/officeDocument/2006/relationships/hyperlink" Target="https://www.hqsc.govt.nz/blog/why-eliminating-seclusion-by-2020-is-an-aspirational-goal/" TargetMode="External"/><Relationship Id="rId92" Type="http://schemas.openxmlformats.org/officeDocument/2006/relationships/hyperlink" Target="https://www.noted.co.nz/health/health/how-a-waikato-family-fought-to-stop-their-disabled-daughters-growth/" TargetMode="External"/><Relationship Id="rId2" Type="http://schemas.openxmlformats.org/officeDocument/2006/relationships/hyperlink" Target="https://maoridictionary.co.nz/search?idiom=&amp;phrase=&amp;proverb=&amp;loan=&amp;histLoanWords=&amp;keywords=maori" TargetMode="External"/><Relationship Id="rId29" Type="http://schemas.openxmlformats.org/officeDocument/2006/relationships/hyperlink" Target="https://www.health.govt.nz/our-work/life-stages/child-health/b4-school-check" TargetMode="External"/><Relationship Id="rId24" Type="http://schemas.openxmlformats.org/officeDocument/2006/relationships/hyperlink" Target="http://www.donaldbeasley.org.nz/" TargetMode="External"/><Relationship Id="rId40" Type="http://schemas.openxmlformats.org/officeDocument/2006/relationships/hyperlink" Target="https://www.hnzc.co.nz/about-us/our-structure/" TargetMode="External"/><Relationship Id="rId45" Type="http://schemas.openxmlformats.org/officeDocument/2006/relationships/hyperlink" Target="http://www.hcn.govt.nz/about-hcn/index.html" TargetMode="External"/><Relationship Id="rId66" Type="http://schemas.openxmlformats.org/officeDocument/2006/relationships/hyperlink" Target="http://www.pmcsa.org.nz/wp-content/uploads/Discussion-paper-on-preventing-youth-offending-in-NZ.pdf" TargetMode="External"/><Relationship Id="rId87" Type="http://schemas.openxmlformats.org/officeDocument/2006/relationships/hyperlink" Target="http://www.legislation.govt.nz/act/public/2018/0046/latest/whole.html" TargetMode="External"/><Relationship Id="rId110" Type="http://schemas.openxmlformats.org/officeDocument/2006/relationships/hyperlink" Target="https://www.educationcounts.govt.nz/statistics/special-education/ongoing-resourcing-scheme" TargetMode="External"/><Relationship Id="rId115" Type="http://schemas.openxmlformats.org/officeDocument/2006/relationships/hyperlink" Target="http://www.waitangitribunal.govt.nz/inquiries/kaupapa-inquiries/health-services-and-outcomes-inquiry/" TargetMode="External"/><Relationship Id="rId131" Type="http://schemas.openxmlformats.org/officeDocument/2006/relationships/hyperlink" Target="http://www.legislation.govt.nz/act/public/2014/0040/latest/whole.html" TargetMode="External"/><Relationship Id="rId136" Type="http://schemas.openxmlformats.org/officeDocument/2006/relationships/hyperlink" Target="http://www.accessalliance.org.nz/" TargetMode="External"/><Relationship Id="rId61" Type="http://schemas.openxmlformats.org/officeDocument/2006/relationships/hyperlink" Target="http://www.transport.govt.nz/assets/Uploads/About/Documents/Accessibility-report.pdf" TargetMode="External"/><Relationship Id="rId82" Type="http://schemas.openxmlformats.org/officeDocument/2006/relationships/hyperlink" Target="http://www.netsafe.org.nz/" TargetMode="External"/><Relationship Id="rId19" Type="http://schemas.openxmlformats.org/officeDocument/2006/relationships/hyperlink" Target="https://www.odi.govt.nz/nz-disability-strategy/outcome-8-leadership" TargetMode="External"/><Relationship Id="rId14" Type="http://schemas.openxmlformats.org/officeDocument/2006/relationships/hyperlink" Target="http://www.health.govt.nz/new-zealand-health-system/key-health-sector-organisations-and-people/district-health-boards" TargetMode="External"/><Relationship Id="rId30" Type="http://schemas.openxmlformats.org/officeDocument/2006/relationships/hyperlink" Target="http://www.education.govt.nz/school/student-support/special-education/day-special-schools-for-students-with-high-needs/" TargetMode="External"/><Relationship Id="rId35" Type="http://schemas.openxmlformats.org/officeDocument/2006/relationships/hyperlink" Target="https://women.govt.nz/news/more-women-public-boards" TargetMode="External"/><Relationship Id="rId56" Type="http://schemas.openxmlformats.org/officeDocument/2006/relationships/hyperlink" Target="https://www.health.govt.nz/our-work/mental-health-and-addictions/national-depression-initiative" TargetMode="External"/><Relationship Id="rId77" Type="http://schemas.openxmlformats.org/officeDocument/2006/relationships/hyperlink" Target="http://www.health.govt.nz" TargetMode="External"/><Relationship Id="rId100" Type="http://schemas.openxmlformats.org/officeDocument/2006/relationships/hyperlink" Target="https://www.odi.govt.nz/nz-disability-strategy/outcome-5-accessibility/" TargetMode="External"/><Relationship Id="rId105" Type="http://schemas.openxmlformats.org/officeDocument/2006/relationships/hyperlink" Target="http://www.legislation.govt.nz/act/public/1955/0093/35.0/DLM292661.html" TargetMode="External"/><Relationship Id="rId126" Type="http://schemas.openxmlformats.org/officeDocument/2006/relationships/hyperlink" Target="http://www.msd.govt.nz/about-msd-and-our-work/publications-resources/corporate/annual-report/2016-2017/reducing-the-welfare-li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5664-AA44-4539-9089-05EFA81F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20996</Words>
  <Characters>117514</Characters>
  <Application>Microsoft Office Word</Application>
  <DocSecurity>4</DocSecurity>
  <Lines>979</Lines>
  <Paragraphs>276</Paragraphs>
  <ScaleCrop>false</ScaleCrop>
  <HeadingPairs>
    <vt:vector size="2" baseType="variant">
      <vt:variant>
        <vt:lpstr>Title</vt:lpstr>
      </vt:variant>
      <vt:variant>
        <vt:i4>1</vt:i4>
      </vt:variant>
    </vt:vector>
  </HeadingPairs>
  <TitlesOfParts>
    <vt:vector size="1" baseType="lpstr">
      <vt:lpstr>1804564</vt:lpstr>
    </vt:vector>
  </TitlesOfParts>
  <Company>DCM</Company>
  <LinksUpToDate>false</LinksUpToDate>
  <CharactersWithSpaces>138234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1804564</dc:title>
  <dc:subject>CRPD/C/NZL/TBC</dc:subject>
  <dc:creator>"Brenden Mischewski" &lt;brenden@mischewski.co.nz&gt;</dc:creator>
  <cp:lastModifiedBy>Windows User</cp:lastModifiedBy>
  <cp:revision>2</cp:revision>
  <cp:lastPrinted>2019-02-25T22:06:00Z</cp:lastPrinted>
  <dcterms:created xsi:type="dcterms:W3CDTF">2019-03-12T01:28:00Z</dcterms:created>
  <dcterms:modified xsi:type="dcterms:W3CDTF">2019-03-12T01:28:00Z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A11237482</vt:lpwstr>
  </property>
  <property fmtid="{D5CDD505-2E9C-101B-9397-08002B2CF9AE}" pid="4" name="Objective-Title">
    <vt:lpwstr>2019 NZ Government's response to the UN CRPD Committee's List of Issues - final</vt:lpwstr>
  </property>
  <property fmtid="{D5CDD505-2E9C-101B-9397-08002B2CF9AE}" pid="5" name="Objective-Comment">
    <vt:lpwstr/>
  </property>
  <property fmtid="{D5CDD505-2E9C-101B-9397-08002B2CF9AE}" pid="6" name="Objective-CreationStamp">
    <vt:filetime>2019-03-01T02:04:21Z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2019-03-05T20:25:59Z</vt:filetime>
  </property>
  <property fmtid="{D5CDD505-2E9C-101B-9397-08002B2CF9AE}" pid="10" name="Objective-ModificationStamp">
    <vt:filetime>2019-03-05T20:26:07Z</vt:filetime>
  </property>
  <property fmtid="{D5CDD505-2E9C-101B-9397-08002B2CF9AE}" pid="11" name="Objective-Owner">
    <vt:lpwstr>Amy Evanson</vt:lpwstr>
  </property>
  <property fmtid="{D5CDD505-2E9C-101B-9397-08002B2CF9AE}" pid="12" name="Objective-Path">
    <vt:lpwstr>Global Folder:MSD INFORMATION REPOSITORY:Office &amp; Ministries:Office for Disability Issues:Advice - leading cross government, strategic projects:Strategic leadership, accountability, and coordination across government:1-United Nations Convention on the Rig</vt:lpwstr>
  </property>
  <property fmtid="{D5CDD505-2E9C-101B-9397-08002B2CF9AE}" pid="13" name="Objective-Parent">
    <vt:lpwstr>07 - Final sign-out</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OM/DI/06/05/08/01/09-23141</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